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922257" w:rsidRPr="00B57B36" w14:paraId="60FD1018" w14:textId="77777777" w:rsidTr="003C525D">
        <w:trPr>
          <w:trHeight w:val="852"/>
          <w:jc w:val="center"/>
        </w:trPr>
        <w:tc>
          <w:tcPr>
            <w:tcW w:w="6946" w:type="dxa"/>
            <w:vMerge w:val="restart"/>
            <w:tcBorders>
              <w:right w:val="single" w:sz="4" w:space="0" w:color="auto"/>
            </w:tcBorders>
          </w:tcPr>
          <w:p w14:paraId="08F22224" w14:textId="77777777" w:rsidR="00922257" w:rsidRPr="00B57B36" w:rsidRDefault="00922257" w:rsidP="003C525D">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s-ES" w:eastAsia="es-ES"/>
              </w:rPr>
              <w:drawing>
                <wp:inline distT="0" distB="0" distL="0" distR="0" wp14:anchorId="43A981F7" wp14:editId="58EBC1C3">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C147B52" w14:textId="77777777" w:rsidR="00922257" w:rsidRPr="00B57B36" w:rsidRDefault="00922257" w:rsidP="003C525D">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Pr>
                <w:rFonts w:cs="Arial"/>
                <w:b/>
                <w:bCs/>
                <w:i/>
                <w:iCs/>
                <w:color w:val="000066"/>
                <w:sz w:val="22"/>
                <w:szCs w:val="22"/>
                <w:lang w:eastAsia="it-IT"/>
              </w:rPr>
              <w:t>92, 2022</w:t>
            </w:r>
          </w:p>
        </w:tc>
        <w:tc>
          <w:tcPr>
            <w:tcW w:w="1843" w:type="dxa"/>
            <w:tcBorders>
              <w:left w:val="single" w:sz="4" w:space="0" w:color="auto"/>
              <w:bottom w:val="nil"/>
              <w:right w:val="single" w:sz="4" w:space="0" w:color="auto"/>
            </w:tcBorders>
          </w:tcPr>
          <w:p w14:paraId="48CBD420" w14:textId="77777777" w:rsidR="00922257" w:rsidRPr="00B57B36" w:rsidRDefault="00922257" w:rsidP="003C525D">
            <w:pPr>
              <w:spacing w:line="140" w:lineRule="atLeast"/>
              <w:jc w:val="right"/>
              <w:rPr>
                <w:rFonts w:cs="Arial"/>
                <w:sz w:val="14"/>
                <w:szCs w:val="14"/>
              </w:rPr>
            </w:pPr>
            <w:r w:rsidRPr="00B57B36">
              <w:rPr>
                <w:rFonts w:cs="Arial"/>
                <w:sz w:val="14"/>
                <w:szCs w:val="14"/>
              </w:rPr>
              <w:t>A publication of</w:t>
            </w:r>
          </w:p>
          <w:p w14:paraId="4E95B993" w14:textId="77777777" w:rsidR="00922257" w:rsidRPr="00B57B36" w:rsidRDefault="00922257" w:rsidP="003C525D">
            <w:pPr>
              <w:jc w:val="right"/>
            </w:pPr>
            <w:r w:rsidRPr="00B57B36">
              <w:rPr>
                <w:noProof/>
                <w:lang w:val="es-ES" w:eastAsia="es-ES"/>
              </w:rPr>
              <w:drawing>
                <wp:inline distT="0" distB="0" distL="0" distR="0" wp14:anchorId="6775384B" wp14:editId="16FD8903">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922257" w:rsidRPr="00B57B36" w14:paraId="2F61A614" w14:textId="77777777" w:rsidTr="003C525D">
        <w:trPr>
          <w:trHeight w:val="567"/>
          <w:jc w:val="center"/>
        </w:trPr>
        <w:tc>
          <w:tcPr>
            <w:tcW w:w="6946" w:type="dxa"/>
            <w:vMerge/>
            <w:tcBorders>
              <w:right w:val="single" w:sz="4" w:space="0" w:color="auto"/>
            </w:tcBorders>
          </w:tcPr>
          <w:p w14:paraId="675F64CC" w14:textId="77777777" w:rsidR="00922257" w:rsidRPr="00B57B36" w:rsidRDefault="00922257" w:rsidP="003C525D">
            <w:pPr>
              <w:tabs>
                <w:tab w:val="left" w:pos="-108"/>
              </w:tabs>
            </w:pPr>
          </w:p>
        </w:tc>
        <w:tc>
          <w:tcPr>
            <w:tcW w:w="1843" w:type="dxa"/>
            <w:tcBorders>
              <w:left w:val="single" w:sz="4" w:space="0" w:color="auto"/>
              <w:bottom w:val="nil"/>
              <w:right w:val="single" w:sz="4" w:space="0" w:color="auto"/>
            </w:tcBorders>
          </w:tcPr>
          <w:p w14:paraId="51AADE85" w14:textId="77777777" w:rsidR="00922257" w:rsidRPr="00B57B36" w:rsidRDefault="00922257" w:rsidP="003C525D">
            <w:pPr>
              <w:spacing w:line="140" w:lineRule="atLeast"/>
              <w:jc w:val="right"/>
              <w:rPr>
                <w:rFonts w:cs="Arial"/>
                <w:sz w:val="14"/>
                <w:szCs w:val="14"/>
              </w:rPr>
            </w:pPr>
            <w:r w:rsidRPr="00B57B36">
              <w:rPr>
                <w:rFonts w:cs="Arial"/>
                <w:sz w:val="14"/>
                <w:szCs w:val="14"/>
              </w:rPr>
              <w:t>The Italian Association</w:t>
            </w:r>
          </w:p>
          <w:p w14:paraId="23276A30" w14:textId="77777777" w:rsidR="00922257" w:rsidRPr="00B57B36" w:rsidRDefault="00922257" w:rsidP="003C525D">
            <w:pPr>
              <w:spacing w:line="140" w:lineRule="atLeast"/>
              <w:jc w:val="right"/>
              <w:rPr>
                <w:rFonts w:cs="Arial"/>
                <w:sz w:val="14"/>
                <w:szCs w:val="14"/>
              </w:rPr>
            </w:pPr>
            <w:r w:rsidRPr="00B57B36">
              <w:rPr>
                <w:rFonts w:cs="Arial"/>
                <w:sz w:val="14"/>
                <w:szCs w:val="14"/>
              </w:rPr>
              <w:t>of Chemical Engineering</w:t>
            </w:r>
          </w:p>
          <w:p w14:paraId="3A216D0F" w14:textId="77777777" w:rsidR="00922257" w:rsidRPr="000D0268" w:rsidRDefault="00922257" w:rsidP="003C525D">
            <w:pPr>
              <w:spacing w:line="140" w:lineRule="atLeast"/>
              <w:jc w:val="right"/>
              <w:rPr>
                <w:rFonts w:cs="Arial"/>
                <w:sz w:val="13"/>
                <w:szCs w:val="13"/>
              </w:rPr>
            </w:pPr>
            <w:r w:rsidRPr="000D0268">
              <w:rPr>
                <w:rFonts w:cs="Arial"/>
                <w:sz w:val="13"/>
                <w:szCs w:val="13"/>
              </w:rPr>
              <w:t>Online at www.cetjournal.it</w:t>
            </w:r>
          </w:p>
        </w:tc>
      </w:tr>
      <w:tr w:rsidR="00922257" w:rsidRPr="00B57B36" w14:paraId="67C675FE" w14:textId="77777777" w:rsidTr="003C525D">
        <w:trPr>
          <w:trHeight w:val="68"/>
          <w:jc w:val="center"/>
        </w:trPr>
        <w:tc>
          <w:tcPr>
            <w:tcW w:w="8789" w:type="dxa"/>
            <w:gridSpan w:val="2"/>
          </w:tcPr>
          <w:p w14:paraId="502D07A2" w14:textId="77777777" w:rsidR="00922257" w:rsidRPr="0044071E" w:rsidRDefault="00922257" w:rsidP="003C525D">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Pr="0044071E">
              <w:rPr>
                <w:rFonts w:ascii="Tahoma" w:hAnsi="Tahoma" w:cs="Tahoma"/>
                <w:color w:val="000000"/>
                <w:sz w:val="14"/>
                <w:szCs w:val="14"/>
                <w:shd w:val="clear" w:color="auto" w:fill="FFFFFF"/>
                <w:lang w:val="it-IT"/>
              </w:rPr>
              <w:t xml:space="preserve"> Rubens Maciel Filho</w:t>
            </w:r>
            <w:r>
              <w:rPr>
                <w:rFonts w:ascii="Tahoma" w:hAnsi="Tahoma" w:cs="Tahoma"/>
                <w:color w:val="000000"/>
                <w:sz w:val="14"/>
                <w:szCs w:val="14"/>
                <w:shd w:val="clear" w:color="auto" w:fill="FFFFFF"/>
                <w:lang w:val="it-IT"/>
              </w:rPr>
              <w:t>,</w:t>
            </w:r>
            <w:r w:rsidRPr="0044071E">
              <w:rPr>
                <w:rFonts w:ascii="Tahoma" w:hAnsi="Tahoma" w:cs="Tahoma"/>
                <w:color w:val="000000"/>
                <w:sz w:val="14"/>
                <w:szCs w:val="14"/>
                <w:shd w:val="clear" w:color="auto" w:fill="FFFFFF"/>
                <w:lang w:val="it-IT"/>
              </w:rPr>
              <w:t xml:space="preserve"> Eliseo Ranzi</w:t>
            </w:r>
            <w:r>
              <w:rPr>
                <w:rFonts w:ascii="Tahoma" w:hAnsi="Tahoma" w:cs="Tahoma"/>
                <w:color w:val="000000"/>
                <w:sz w:val="14"/>
                <w:szCs w:val="14"/>
                <w:shd w:val="clear" w:color="auto" w:fill="FFFFFF"/>
                <w:lang w:val="it-IT"/>
              </w:rPr>
              <w:t>, Leonardo Tognotti</w:t>
            </w:r>
          </w:p>
          <w:p w14:paraId="6A8ABECC" w14:textId="77777777" w:rsidR="00922257" w:rsidRPr="00B57B36" w:rsidRDefault="00922257" w:rsidP="003C525D">
            <w:pPr>
              <w:tabs>
                <w:tab w:val="left" w:pos="-108"/>
              </w:tabs>
              <w:spacing w:line="140" w:lineRule="atLeast"/>
              <w:ind w:left="-107"/>
              <w:jc w:val="left"/>
            </w:pPr>
            <w:r>
              <w:rPr>
                <w:rFonts w:ascii="Tahoma" w:hAnsi="Tahoma" w:cs="Tahoma"/>
                <w:iCs/>
                <w:color w:val="333333"/>
                <w:sz w:val="14"/>
                <w:szCs w:val="14"/>
                <w:lang w:eastAsia="it-IT"/>
              </w:rPr>
              <w:t>Copyright © 2022</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Pr>
                <w:rFonts w:ascii="Tahoma" w:hAnsi="Tahoma" w:cs="Tahoma"/>
                <w:sz w:val="14"/>
                <w:szCs w:val="14"/>
              </w:rPr>
              <w:t>978-88-</w:t>
            </w:r>
            <w:r w:rsidRPr="00EF06D9">
              <w:rPr>
                <w:rFonts w:ascii="Tahoma" w:hAnsi="Tahoma" w:cs="Tahoma"/>
                <w:sz w:val="14"/>
                <w:szCs w:val="14"/>
              </w:rPr>
              <w:t>95608</w:t>
            </w:r>
            <w:r>
              <w:rPr>
                <w:rFonts w:ascii="Tahoma" w:hAnsi="Tahoma" w:cs="Tahoma"/>
                <w:sz w:val="14"/>
                <w:szCs w:val="14"/>
              </w:rPr>
              <w:t>-90-7</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701" w:right="1418" w:bottom="1701" w:left="1701" w:header="1701" w:footer="0" w:gutter="0"/>
          <w:cols w:space="708"/>
          <w:titlePg/>
          <w:docGrid w:linePitch="360"/>
        </w:sectPr>
      </w:pPr>
    </w:p>
    <w:p w14:paraId="2E667253" w14:textId="292D897A" w:rsidR="00E978D0" w:rsidRPr="00B57B36" w:rsidRDefault="002E6DD5" w:rsidP="00E978D0">
      <w:pPr>
        <w:pStyle w:val="CETTitle"/>
      </w:pPr>
      <w:r>
        <w:t>E</w:t>
      </w:r>
      <w:r w:rsidR="00DF7FB9">
        <w:t xml:space="preserve">nvironmental </w:t>
      </w:r>
      <w:r>
        <w:t>evaluation</w:t>
      </w:r>
      <w:r w:rsidR="00DF7FB9">
        <w:t xml:space="preserve"> of microalgae-based biodiesel production via in-situ transesterification</w:t>
      </w:r>
    </w:p>
    <w:p w14:paraId="2B3CA35C" w14:textId="64FF9EAE" w:rsidR="00E978D0" w:rsidRPr="005F206E" w:rsidRDefault="00DF7FB9" w:rsidP="00AB5011">
      <w:pPr>
        <w:pStyle w:val="CETAuthors"/>
        <w:rPr>
          <w:lang w:val="es-CO"/>
        </w:rPr>
      </w:pPr>
      <w:r w:rsidRPr="005F206E">
        <w:rPr>
          <w:lang w:val="es-CO"/>
        </w:rPr>
        <w:t>Ángel Darío González-Delgado</w:t>
      </w:r>
      <w:r w:rsidR="00600535" w:rsidRPr="005F206E">
        <w:rPr>
          <w:vertAlign w:val="superscript"/>
          <w:lang w:val="es-CO"/>
        </w:rPr>
        <w:t>a</w:t>
      </w:r>
      <w:r w:rsidRPr="005F206E">
        <w:rPr>
          <w:vertAlign w:val="superscript"/>
          <w:lang w:val="es-CO"/>
        </w:rPr>
        <w:t>*</w:t>
      </w:r>
      <w:r w:rsidR="00600535" w:rsidRPr="005F206E">
        <w:rPr>
          <w:lang w:val="es-CO"/>
        </w:rPr>
        <w:t xml:space="preserve">, </w:t>
      </w:r>
      <w:r w:rsidRPr="005F206E">
        <w:rPr>
          <w:lang w:val="es-CO"/>
        </w:rPr>
        <w:t>Aury S. Álvarez-Cordero</w:t>
      </w:r>
      <w:r w:rsidR="00B31AA0" w:rsidRPr="005F206E">
        <w:rPr>
          <w:vertAlign w:val="superscript"/>
          <w:lang w:val="es-CO"/>
        </w:rPr>
        <w:t>a</w:t>
      </w:r>
      <w:r w:rsidRPr="005F206E">
        <w:rPr>
          <w:lang w:val="es-CO"/>
        </w:rPr>
        <w:t>, Yuranis P. De Ávila-Alvis</w:t>
      </w:r>
      <w:r w:rsidR="00B31AA0" w:rsidRPr="005F206E">
        <w:rPr>
          <w:vertAlign w:val="superscript"/>
          <w:lang w:val="es-CO"/>
        </w:rPr>
        <w:t>a</w:t>
      </w:r>
    </w:p>
    <w:p w14:paraId="5053C5A8" w14:textId="12A8EC97" w:rsidR="00E978D0" w:rsidRPr="00B57B36" w:rsidRDefault="00E978D0" w:rsidP="00E978D0">
      <w:pPr>
        <w:pStyle w:val="CETAddress"/>
      </w:pPr>
      <w:r w:rsidRPr="00B57B36">
        <w:rPr>
          <w:vertAlign w:val="superscript"/>
        </w:rPr>
        <w:t>a</w:t>
      </w:r>
      <w:r w:rsidR="00B31AA0">
        <w:t>Nanomaterials and Computer-</w:t>
      </w:r>
      <w:r w:rsidR="00212766">
        <w:t>Aided Process Engineering Research Grou</w:t>
      </w:r>
      <w:r w:rsidR="00F525F4">
        <w:t>p</w:t>
      </w:r>
      <w:r w:rsidR="00212766">
        <w:t xml:space="preserve"> (NIPAC), Chemical Engineering Department, Faculty of Engineering, University of Cartagena, Cartagena 130015, Colombia</w:t>
      </w:r>
      <w:r w:rsidRPr="00B57B36">
        <w:t xml:space="preserve"> </w:t>
      </w:r>
    </w:p>
    <w:p w14:paraId="0127A28D" w14:textId="55F2F5CF" w:rsidR="00E978D0" w:rsidRDefault="00600535" w:rsidP="00E978D0">
      <w:pPr>
        <w:pStyle w:val="CETemail"/>
      </w:pPr>
      <w:r w:rsidRPr="00B57B36">
        <w:t>corresponding.a</w:t>
      </w:r>
      <w:r w:rsidR="00212766">
        <w:t>gonzalezd1</w:t>
      </w:r>
      <w:r w:rsidRPr="00B57B36">
        <w:t>@</w:t>
      </w:r>
      <w:r w:rsidR="00212766">
        <w:t>unicartagena.edu.co</w:t>
      </w:r>
    </w:p>
    <w:p w14:paraId="608222C6" w14:textId="73865DDD" w:rsidR="00BD0A6A" w:rsidRDefault="00BD0A6A" w:rsidP="00BD0A6A">
      <w:pPr>
        <w:pStyle w:val="CETBodytext"/>
        <w:rPr>
          <w:lang w:val="en-GB"/>
        </w:rPr>
      </w:pPr>
      <w:r>
        <w:rPr>
          <w:lang w:val="en-GB"/>
        </w:rPr>
        <w:t xml:space="preserve">A wide variety of biofuel feedstocks are investigated as viable alternatives to traditional fuels, including microalgae, which show strong advantages </w:t>
      </w:r>
      <w:r w:rsidR="002D29F9">
        <w:rPr>
          <w:lang w:val="en-GB"/>
        </w:rPr>
        <w:t xml:space="preserve">mainly due to its high growth rate and high lipid content. Microalgae-based biodiesel can substitute diesel in automobiles with little or no modification to vehicle engines. Therefore, extensive research is being advanced in the search for improvements in the biodiesel processing steps that will advance the commercial viability of microalgae-based biofuels. This work evaluates the environmental performance of biodiesel production from microalgae following the in-situ transesterification route. </w:t>
      </w:r>
      <w:r w:rsidR="003952C6">
        <w:t xml:space="preserve">The process was initially modeled based on data reported in the literature, simulated using aspen plus software, and environmentally evaluated following the waste reduction algorithm (WAR). The environmental assessment provided the results for the potential environmental impact (PEI) output and generated for the process and the classification of the environmental impacts under 8 categories. The output rate of PEI was estimated at 1.31E+00 PEI/kg of product indicating that the waste streams have low environmental impact potential. Also, it was found that microalgae-based biodiesel production does not generate environmental impacts since raw materials with higher impact potential concerning the products are consumed. The categories of global warming potential and ozone depletion potential are not affected by this process. </w:t>
      </w:r>
    </w:p>
    <w:p w14:paraId="476B2F2E" w14:textId="77777777" w:rsidR="00600535" w:rsidRPr="009C28A5" w:rsidRDefault="00600535" w:rsidP="00600535">
      <w:pPr>
        <w:pStyle w:val="CETHeading1"/>
        <w:rPr>
          <w:lang w:val="en-GB"/>
        </w:rPr>
      </w:pPr>
      <w:r w:rsidRPr="009C28A5">
        <w:rPr>
          <w:lang w:val="en-GB"/>
        </w:rPr>
        <w:t>Introduction</w:t>
      </w:r>
    </w:p>
    <w:p w14:paraId="0B0CF423" w14:textId="5CED1B66" w:rsidR="00DD4B87" w:rsidRPr="009C28A5" w:rsidRDefault="00D7321D" w:rsidP="009C28A5">
      <w:pPr>
        <w:pStyle w:val="CETBodytext"/>
      </w:pPr>
      <w:r w:rsidRPr="009C28A5">
        <w:t xml:space="preserve">Accelerated population growth has led to an increase in the energy needs of the planet, which has driven up the consumption of fossil fuels as the main source of energy. The potential role of biofuels in addressing energy challenges has received significant attention from scientists from various disciplines and countries </w:t>
      </w:r>
      <w:r w:rsidRPr="009C28A5">
        <w:fldChar w:fldCharType="begin" w:fldLock="1"/>
      </w:r>
      <w:r w:rsidR="0060762A">
        <w:instrText>ADDIN CSL_CITATION {"citationItems":[{"id":"ITEM-1","itemData":{"DOI":"10.1016/j.rser.2016.11.181","ISSN":"18790690","abstract":"Due to their potential role in addressing the challenges of energy and environment, biofuels have been receiving significant attention from scientists in various disciplines and countries. Over the past few decades, the biofuel science has undergone major changes with regard to its rate of development, focus, and the contributing countries. We put the evolution the biofuel science into context by analyzing 49,000 relevant papers (comprising 0.26% of all publications across physical and life sciences) published between 1990 and 2014. We first determine the scientific contributions of different countries to the science on biofuels, and then analyze how the R&amp;D expenditure and biomass availability is associated with their outputs. Subsequently, the structure of biofuel science in terms of the links between biomass feedstocks and final products are quantitatively discussed. We find that 28%, 16%, and 15% of all papers considered are published by researchers from the EU, China, and USA, respectively. Denmark, Sweden, and Finland have the highest number of biofuel-related publications per capita (i.e. 133, 113, and 103 papers per million capita and annum, respectively). The percentage share of studies on edible, lignocellulosic, and algal biomass are 46%, 40%, and 14%, respectively. Fermentation, hydrolysis, and esterification are the most widely studied conversion pathways, while liquefaction and life cycle assessment are the most cited subfields. Finally, using United States’ statistics, it is shown that upon accounting for the time delay between the nominal budget release year and the calendar year in which corresponding papers would ultimately appear in print, the publication trend was closely correlated to the R&amp;D expenditure (r=0.98).","author":[{"dropping-particle":"","family":"Azadi","given":"Pooya","non-dropping-particle":"","parse-names":false,"suffix":""},{"dropping-particle":"","family":"Malina","given":"Robert","non-dropping-particle":"","parse-names":false,"suffix":""},{"dropping-particle":"","family":"Barrett","given":"Steven R.H.","non-dropping-particle":"","parse-names":false,"suffix":""},{"dropping-particle":"","family":"Kraft","given":"Markus","non-dropping-particle":"","parse-names":false,"suffix":""}],"container-title":"Renewable and Sustainable Energy Reviews","id":"ITEM-1","issue":"October 2016","issued":{"date-parts":[["2017"]]},"page":"1479-1484","publisher":"Elsevier Ltd","title":"The evolution of the biofuel science","type":"article-journal","volume":"76"},"uris":["http://www.mendeley.com/documents/?uuid=ccd8faff-06f4-4293-86ec-f6f1c6b5eef8"]}],"mendeley":{"formattedCitation":"(Azadi et al., 2017)","plainTextFormattedCitation":"(Azadi et al., 2017)","previouslyFormattedCitation":"[1]"},"properties":{"noteIndex":0},"schema":"https://github.com/citation-style-language/schema/raw/master/csl-citation.json"}</w:instrText>
      </w:r>
      <w:r w:rsidRPr="009C28A5">
        <w:fldChar w:fldCharType="separate"/>
      </w:r>
      <w:r w:rsidR="0060762A" w:rsidRPr="0060762A">
        <w:rPr>
          <w:noProof/>
        </w:rPr>
        <w:t>(Azadi et al., 2017)</w:t>
      </w:r>
      <w:r w:rsidRPr="009C28A5">
        <w:fldChar w:fldCharType="end"/>
      </w:r>
      <w:r w:rsidRPr="009C28A5">
        <w:t>, contributing to the development of new technologies for large-scale biofuel production. The scientific interest in biofuels lies in their potential to reduce the consumption of fossil resources and the precipitous increase in atmospheric greenhouse gas levels.</w:t>
      </w:r>
      <w:r w:rsidR="00DD4B87" w:rsidRPr="009C28A5">
        <w:t xml:space="preserve"> </w:t>
      </w:r>
      <w:r w:rsidR="00202B84" w:rsidRPr="009C28A5">
        <w:t xml:space="preserve">A wide variety of biofuel feedstocks </w:t>
      </w:r>
      <w:r w:rsidR="00DD4B87" w:rsidRPr="009C28A5">
        <w:t>have been</w:t>
      </w:r>
      <w:r w:rsidR="00202B84" w:rsidRPr="009C28A5">
        <w:t xml:space="preserve"> investigated as viable alternatives to traditional fuels</w:t>
      </w:r>
      <w:r w:rsidR="00DD4B87" w:rsidRPr="009C28A5">
        <w:t xml:space="preserve"> </w:t>
      </w:r>
      <w:r w:rsidR="00202B84" w:rsidRPr="009C28A5">
        <w:t>including microalgae, which show strong advantages</w:t>
      </w:r>
      <w:r w:rsidR="00DD4B87" w:rsidRPr="009C28A5">
        <w:t xml:space="preserve"> to biodiesel production</w:t>
      </w:r>
      <w:r w:rsidR="00E8604E" w:rsidRPr="009C28A5">
        <w:t xml:space="preserve"> </w:t>
      </w:r>
      <w:r w:rsidR="00E8604E" w:rsidRPr="009C28A5">
        <w:fldChar w:fldCharType="begin" w:fldLock="1"/>
      </w:r>
      <w:r w:rsidR="0060762A">
        <w:instrText>ADDIN CSL_CITATION {"citationItems":[{"id":"ITEM-1","itemData":{"DOI":"10.1002/bit.22033","ISBN":"3905532883","ISSN":"00063592","PMID":"18683258","abstract":"Thirty microalgal strains were screened in the laboratory for their biomass productivity and lipid content. Four strains (two marine and two freshwater), selected because robust, highly productive and with a relatively high lipid content, were cultivated under nitrogen deprivation in 0.6-L bubbled tubes. Only the two marine microalgae accumulated lipid under such conditions. One of them, the eustigmatophyte Nannochloropsis sp. F&amp;M-M24, which attained 60% lipid content after nitrogen starvation, was grown in a 20-L Flat Alveolar Panel photobioreactor to study the influence of irradiance and nutrient (nitrogen or phosphorus) deprivation on fatty acid accumulation. Fatty acid content increased with high irradiances (up to 32.5% of dry biomass) and following both nitrogen and phosphorus deprivation (up to about 50%). To evaluate its lipid production potential under natural sunlight, the strain was grown outdoors in 110-L Green Wall Panel photobioreac-tors under nutrient sufficient and deficient conditions. Lipid productivity increased from 117 mg/L/day in nutrient sufficient media (with an average biomass productivity of 0.36 g/ L/day and 32% lipid content) to 204 mg/L/day (with an average biomass productivity of 0.30 g/L/day and more than 60% final lipid content) in nitrogen deprived media. In a two-phase cultivation process (a nutrient sufficient phase to produce the inoculum followed by a nitrogen deprived phase to boost lipid synthesis) the oil production potential could be projected to be more than 90 kg per hectare per day. This is the first report of an increase of both lipid content and areal lipid productivity attained through nutrient deprivation in an outdoor algal culture. The experiments showed that this marine eustigmatophyte has the potential for an annual production of 20 tons of lipid per hectare in the Mediterranean climate and of more than 30 tons of lipid per hectare in sunny tropical areas. Biotechnol. Bioeng. 2009;102: 100-112. © 2008 Wiley Periodicals, Inc.","author":[{"dropping-particle":"","family":"Rodolfi","given":"Liliana","non-dropping-particle":"","parse-names":false,"suffix":""},{"dropping-particle":"","family":"Zittelli","given":"Graziella Chini","non-dropping-particle":"","parse-names":false,"suffix":""},{"dropping-particle":"","family":"Bassi","given":"Niccolo","non-dropping-particle":"","parse-names":false,"suffix":""},{"dropping-particle":"","family":"Padovani","given":"Giulia","non-dropping-particle":"","parse-names":false,"suffix":""},{"dropping-particle":"","family":"Biondi","given":"Natascia","non-dropping-particle":"","parse-names":false,"suffix":""},{"dropping-particle":"","family":"Bonini","given":"Gimena","non-dropping-particle":"","parse-names":false,"suffix":""},{"dropping-particle":"","family":"Tredici","given":"Mario R.","non-dropping-particle":"","parse-names":false,"suffix":""}],"container-title":"Biotechnology and Bioengineering","id":"ITEM-1","issue":"1","issued":{"date-parts":[["2009"]]},"page":"100-112","title":"Microalgae for oil: Strain selection, induction of lipid synthesis and outdoor mass cultivation in a low-cost photobioreactor","type":"article-journal","volume":"102"},"uris":["http://www.mendeley.com/documents/?uuid=50b54bde-0c69-45a0-939a-f7d344fbd3e9"]}],"mendeley":{"formattedCitation":"(Rodolfi et al., 2009)","plainTextFormattedCitation":"(Rodolfi et al., 2009)","previouslyFormattedCitation":"[2]"},"properties":{"noteIndex":0},"schema":"https://github.com/citation-style-language/schema/raw/master/csl-citation.json"}</w:instrText>
      </w:r>
      <w:r w:rsidR="00E8604E" w:rsidRPr="009C28A5">
        <w:fldChar w:fldCharType="separate"/>
      </w:r>
      <w:r w:rsidR="0060762A" w:rsidRPr="0060762A">
        <w:rPr>
          <w:noProof/>
        </w:rPr>
        <w:t>(Rodolfi et al., 2009)</w:t>
      </w:r>
      <w:r w:rsidR="00E8604E" w:rsidRPr="009C28A5">
        <w:fldChar w:fldCharType="end"/>
      </w:r>
      <w:r w:rsidR="00E8604E" w:rsidRPr="009C28A5">
        <w:t xml:space="preserve">, including the high growth rate, efficient photosynthesis process, and bio-mass productivity </w:t>
      </w:r>
      <w:r w:rsidR="00E8604E" w:rsidRPr="009C28A5">
        <w:fldChar w:fldCharType="begin" w:fldLock="1"/>
      </w:r>
      <w:r w:rsidR="0060762A">
        <w:instrText>ADDIN CSL_CITATION {"citationItems":[{"id":"ITEM-1","itemData":{"DOI":"10.1016/j.biortech.2020.122804","ISSN":"18732976","PMID":"31982297","abstract":"Biodiesel is one of the best promising candidates in response to the energy crisis, since it has the capability to minimize most of the environmental problems. Microalgae, as the feedstock of third-generation biodiesel, are considered as one of the most sustainable resources. However, microalgae production for biodiesel feedstock on a large scale is still limited, because of the influences of lipid contents, biomass productivities, lipid extraction technologies, the water used in microalgae cultivation and processes of biomass harvesting. This paper firstly reviews the recent advances in microalgae cultivation and growth processes. Subsequently, current microalgae harvesting technologies are summarized and flocculation mechanisms are analyzed, while the characteristics that the ideal harvesting methods should have are summarized. This review also summarizes the environmental pollution control performances and the key challenges in future. The key suggestions and conclusions in the paper can offer a promising roadmap for the cost-effective biodiesel production.","author":[{"dropping-particle":"","family":"Yin","given":"Zhihong","non-dropping-particle":"","parse-names":false,"suffix":""},{"dropping-particle":"","family":"Zhu","given":"Liandong","non-dropping-particle":"","parse-names":false,"suffix":""},{"dropping-particle":"","family":"Li","given":"Shuangxi","non-dropping-particle":"","parse-names":false,"suffix":""},{"dropping-particle":"","family":"Hu","given":"Tianyi","non-dropping-particle":"","parse-names":false,"suffix":""},{"dropping-particle":"","family":"Chu","given":"Ruoyu","non-dropping-particle":"","parse-names":false,"suffix":""},{"dropping-particle":"","family":"Mo","given":"Fan","non-dropping-particle":"","parse-names":false,"suffix":""},{"dropping-particle":"","family":"Hu","given":"Dan","non-dropping-particle":"","parse-names":false,"suffix":""},{"dropping-particle":"","family":"Liu","given":"Chenchen","non-dropping-particle":"","parse-names":false,"suffix":""},{"dropping-particle":"","family":"Li","given":"Bin","non-dropping-particle":"","parse-names":false,"suffix":""}],"container-title":"Bioresource Technology","id":"ITEM-1","issue":"November 2019","issued":{"date-parts":[["2020"]]},"page":"122804","publisher":"Elsevier","title":"A comprehensive review on cultivation and harvesting of microalgae for biodiesel production: Environmental pollution control and future directions","type":"article-journal","volume":"301"},"uris":["http://www.mendeley.com/documents/?uuid=e45ad3a1-8db4-4764-b9bb-47a7a4cd0b20"]}],"mendeley":{"formattedCitation":"(Yin et al., 2020)","plainTextFormattedCitation":"(Yin et al., 2020)","previouslyFormattedCitation":"[3]"},"properties":{"noteIndex":0},"schema":"https://github.com/citation-style-language/schema/raw/master/csl-citation.json"}</w:instrText>
      </w:r>
      <w:r w:rsidR="00E8604E" w:rsidRPr="009C28A5">
        <w:fldChar w:fldCharType="separate"/>
      </w:r>
      <w:r w:rsidR="0060762A" w:rsidRPr="0060762A">
        <w:rPr>
          <w:noProof/>
        </w:rPr>
        <w:t>(Yin et al., 2020)</w:t>
      </w:r>
      <w:r w:rsidR="00E8604E" w:rsidRPr="009C28A5">
        <w:fldChar w:fldCharType="end"/>
      </w:r>
      <w:r w:rsidR="00E8604E" w:rsidRPr="009C28A5">
        <w:t xml:space="preserve">.   </w:t>
      </w:r>
    </w:p>
    <w:p w14:paraId="0C681CD8" w14:textId="4FD6DD27" w:rsidR="00062F31" w:rsidRPr="009C28A5" w:rsidRDefault="00062F31" w:rsidP="009C28A5">
      <w:pPr>
        <w:pStyle w:val="CETBodytext"/>
      </w:pPr>
    </w:p>
    <w:p w14:paraId="00EEFDEF" w14:textId="295B3CD4" w:rsidR="008A6BEC" w:rsidRPr="009C28A5" w:rsidRDefault="008A6BEC" w:rsidP="009C28A5">
      <w:pPr>
        <w:pStyle w:val="CETBodytext"/>
      </w:pPr>
      <w:r w:rsidRPr="009C28A5">
        <w:t>Nowadays, Microalgae-based biodiesel is one of the most attractive fuels; it is an alternative, renewable, biodegradable</w:t>
      </w:r>
      <w:r w:rsidR="00F525F4">
        <w:t>,</w:t>
      </w:r>
      <w:r w:rsidRPr="009C28A5">
        <w:t xml:space="preserve"> and environmentally friendly biofuel for transportation, with similar properties to petroleum-derived diesel, and can be used directly in a compression-ignition engine without requiring any modifications </w:t>
      </w:r>
      <w:r w:rsidRPr="009C28A5">
        <w:fldChar w:fldCharType="begin" w:fldLock="1"/>
      </w:r>
      <w:r w:rsidR="0060762A">
        <w:instrText>ADDIN CSL_CITATION {"citationItems":[{"id":"ITEM-1","itemData":{"DOI":"10.1016/j.rser.2017.08.062","ISSN":"18790690","abstract":"Biodiesel is an alternative, renewable, biodegradable and environmentally friendly fuel for transportation, with properties like petroleum-derived diesel, and can be used directly in a compression ignition engine without any modifications. The world's fossil fuel and crude oil reserves are going to dry up in the next few decades, but, contrariwise, an attractive, high quality, readily available and economically extractable oil from microalgae is a substitute feedstock to produce alternative biodiesel fuel for the transportation sector in the future. Microalgae have a higher biomass productivity (tons/hectare/year) and lipid yield (kg/kg of algal biomass) as compared to vegetable oil crops. To overcome the problem of energy deficiency in developing countries, like Pakistan, and boost their economic growth, alternative fuels are proving very important for environment-friendly and sustainable development, especially in the last few decades. Different research studies on microalgae cultivation, characterization of microalgae oil (lipids), and evaluations of its socio-economic feasibility to produce renewable biodiesel have been conducted in the past in Pakistan for its future prospects. This review paper includes the overall summary and compilation of the microalgae research conducted in Pakistan on biodiesel production and includes the algal biodiesel production cost analysis. The studies showed promising results for harnessing microalgae and using its lipids to produce biodiesel with favourable properties that were comparable to the conventional diesel in Pakistan. The information related to the microalgae research will help stakeholders and governmental organisations working in the renewable energy sector to consider its cultivation on a large scale, using waste water as a feedstock to produce biodiesel to meet the target set by the Government of Pakistan of using 10% blended biodiesel by the year 2025 in Pakistan.","author":[{"dropping-particle":"","family":"Ali","given":"Mehmood","non-dropping-particle":"","parse-names":false,"suffix":""},{"dropping-particle":"","family":"Sultana","given":"Razia","non-dropping-particle":"","parse-names":false,"suffix":""},{"dropping-particle":"","family":"Tahir","given":"Sadia","non-dropping-particle":"","parse-names":false,"suffix":""},{"dropping-particle":"","family":"Watson","given":"Ian A.","non-dropping-particle":"","parse-names":false,"suffix":""},{"dropping-particle":"","family":"Saleem","given":"Muhammad","non-dropping-particle":"","parse-names":false,"suffix":""}],"container-title":"Renewable and Sustainable Energy Reviews","id":"ITEM-1","issue":"May","issued":{"date-parts":[["2017"]]},"page":"1588-1596","publisher":"Elsevier Ltd","title":"Prospects of microalgal biodiesel production in Pakistan – A review","type":"article-journal","volume":"80"},"uris":["http://www.mendeley.com/documents/?uuid=8b23cd6c-a2b8-4f16-bf99-a726575921e9"]}],"mendeley":{"formattedCitation":"(Ali et al., 2017)","plainTextFormattedCitation":"(Ali et al., 2017)","previouslyFormattedCitation":"[4]"},"properties":{"noteIndex":0},"schema":"https://github.com/citation-style-language/schema/raw/master/csl-citation.json"}</w:instrText>
      </w:r>
      <w:r w:rsidRPr="009C28A5">
        <w:fldChar w:fldCharType="separate"/>
      </w:r>
      <w:r w:rsidR="0060762A" w:rsidRPr="0060762A">
        <w:rPr>
          <w:noProof/>
        </w:rPr>
        <w:t>(Ali et al., 2017)</w:t>
      </w:r>
      <w:r w:rsidRPr="009C28A5">
        <w:fldChar w:fldCharType="end"/>
      </w:r>
      <w:r w:rsidRPr="009C28A5">
        <w:t xml:space="preserve">. </w:t>
      </w:r>
      <w:r w:rsidR="009C28A5" w:rsidRPr="009C28A5">
        <w:t xml:space="preserve">However, several barriers in theory, techniques, and industrialization remain, leading to the high cost of biofuel from this biomass </w:t>
      </w:r>
      <w:r w:rsidR="009C28A5" w:rsidRPr="009C28A5">
        <w:rPr>
          <w:rFonts w:eastAsia="Calibri"/>
        </w:rPr>
        <w:fldChar w:fldCharType="begin" w:fldLock="1"/>
      </w:r>
      <w:r w:rsidR="0060762A">
        <w:rPr>
          <w:rFonts w:eastAsia="Calibri"/>
        </w:rPr>
        <w:instrText>ADDIN CSL_CITATION {"citationItems":[{"id":"ITEM-1","itemData":{"DOI":"10.1016/j.rser.2016.12.078","ISSN":"1364-0321","author":[{"dropping-particle":"","family":"Su","given":"Yujie","non-dropping-particle":"","parse-names":false,"suffix":""},{"dropping-particle":"","family":"Song","given":"Kaihui","non-dropping-particle":"","parse-names":false,"suffix":""},{"dropping-particle":"","family":"Zhang","given":"Peidong","non-dropping-particle":"","parse-names":false,"suffix":""},{"dropping-particle":"","family":"Su","given":"Yuqing","non-dropping-particle":"","parse-names":false,"suffix":""},{"dropping-particle":"","family":"Cheng","given":"Jing","non-dropping-particle":"","parse-names":false,"suffix":""},{"dropping-particle":"","family":"Chen","given":"Xiao","non-dropping-particle":"","parse-names":false,"suffix":""}],"container-title":"Renewable and Sustainable Energy Reviews","id":"ITEM-1","issue":"November 2016","issued":{"date-parts":[["2017"]]},"page":"402-411","publisher":"Elsevier Ltd","title":"Progress of microalgae biofuel's commercialization","type":"article-journal","volume":"74"},"uris":["http://www.mendeley.com/documents/?uuid=cccc83f0-d9d1-4ebd-b522-d804a482299e","http://www.mendeley.com/documents/?uuid=12bee9d0-fd56-4424-bb0b-4c1f1f43782f","http://www.mendeley.com/documents/?uuid=62a9b07c-32e6-45fd-a286-4ecebed084b9"]}],"mendeley":{"formattedCitation":"(Su et al., 2017)","plainTextFormattedCitation":"(Su et al., 2017)","previouslyFormattedCitation":"[5]"},"properties":{"noteIndex":0},"schema":"https://github.com/citation-style-language/schema/raw/master/csl-citation.json"}</w:instrText>
      </w:r>
      <w:r w:rsidR="009C28A5" w:rsidRPr="009C28A5">
        <w:rPr>
          <w:rFonts w:eastAsia="Calibri"/>
        </w:rPr>
        <w:fldChar w:fldCharType="separate"/>
      </w:r>
      <w:r w:rsidR="0060762A" w:rsidRPr="0060762A">
        <w:rPr>
          <w:rFonts w:eastAsia="Calibri"/>
          <w:noProof/>
        </w:rPr>
        <w:t>(Su et al., 2017)</w:t>
      </w:r>
      <w:r w:rsidR="009C28A5" w:rsidRPr="009C28A5">
        <w:rPr>
          <w:rFonts w:eastAsia="Calibri"/>
        </w:rPr>
        <w:fldChar w:fldCharType="end"/>
      </w:r>
      <w:r w:rsidR="009C28A5" w:rsidRPr="009C28A5">
        <w:rPr>
          <w:rFonts w:eastAsia="Calibri"/>
        </w:rPr>
        <w:t>.</w:t>
      </w:r>
      <w:r w:rsidR="009C28A5" w:rsidRPr="009C28A5">
        <w:rPr>
          <w:rFonts w:eastAsiaTheme="minorHAnsi"/>
        </w:rPr>
        <w:t xml:space="preserve">  These barriers increase the importance of detailed research into the new emerging technologies forward from microalgae. </w:t>
      </w:r>
      <w:r w:rsidR="009C28A5">
        <w:rPr>
          <w:rFonts w:eastAsiaTheme="minorHAnsi"/>
        </w:rPr>
        <w:t xml:space="preserve">In this work, </w:t>
      </w:r>
      <w:r w:rsidR="00152812">
        <w:rPr>
          <w:rFonts w:eastAsiaTheme="minorHAnsi"/>
        </w:rPr>
        <w:t xml:space="preserve">the environmental analysis of microalgae-based biodiesel production via in-situ transesterification is evaluated. </w:t>
      </w:r>
      <w:r w:rsidR="00FE14BF">
        <w:rPr>
          <w:rFonts w:eastAsiaTheme="minorHAnsi"/>
        </w:rPr>
        <w:t xml:space="preserve">There are different methodologies, tools, and techniques to develop an environmental analysis of processes including the waste </w:t>
      </w:r>
      <w:r w:rsidR="00FE14BF">
        <w:rPr>
          <w:rFonts w:eastAsiaTheme="minorHAnsi"/>
        </w:rPr>
        <w:lastRenderedPageBreak/>
        <w:t xml:space="preserve">reduction algorithm (WAR), the Method of Environmental Impact Minimization (MEIM), the Life Cycle Analysis (LCA), the Tool for the Reduction and Assessment of Chemical and other environmental impacts (TRACI), among others. The WAR algorithm offers mainly the advantage of identifying how fast an environmental impact could be in the environment </w:t>
      </w:r>
      <w:r w:rsidR="00FE14BF">
        <w:rPr>
          <w:rFonts w:eastAsiaTheme="minorHAnsi"/>
        </w:rPr>
        <w:fldChar w:fldCharType="begin" w:fldLock="1"/>
      </w:r>
      <w:r w:rsidR="0060762A">
        <w:rPr>
          <w:rFonts w:eastAsiaTheme="minorHAnsi"/>
        </w:rPr>
        <w:instrText>ADDIN CSL_CITATION {"citationItems":[{"id":"ITEM-1","itemData":{"DOI":"10.3303/CET1757033","ISBN":"9788895608488","ISSN":"22839216","author":[{"dropping-particle":"","family":"Herrera-Aristizábal","given":"Rosa","non-dropping-particle":"","parse-names":false,"suffix":""},{"dropping-particle":"","family":"Salgado-dueñas","given":"Juan S","non-dropping-particle":"","parse-names":false,"suffix":""},{"dropping-particle":"","family":"Peralta-Ruiz","given":"Y.Y","non-dropping-particle":"","parse-names":false,"suffix":""},{"dropping-particle":"","family":"González-Delgado","given":"A","non-dropping-particle":"","parse-names":false,"suffix":""}],"container-title":"Chemical Engineering Transactions","id":"ITEM-1","issued":{"date-parts":[["2017"]]},"page":"193-198","title":"Environmental Evaluation of a Palm-based biorefinery under North-Colombian Conditions","type":"article-journal","volume":"57"},"uris":["http://www.mendeley.com/documents/?uuid=a520123b-4197-4749-bf23-fe58e2631ec6"]}],"mendeley":{"formattedCitation":"(Herrera-Aristizábal et al., 2017)","plainTextFormattedCitation":"(Herrera-Aristizábal et al., 2017)","previouslyFormattedCitation":"[6]"},"properties":{"noteIndex":0},"schema":"https://github.com/citation-style-language/schema/raw/master/csl-citation.json"}</w:instrText>
      </w:r>
      <w:r w:rsidR="00FE14BF">
        <w:rPr>
          <w:rFonts w:eastAsiaTheme="minorHAnsi"/>
        </w:rPr>
        <w:fldChar w:fldCharType="separate"/>
      </w:r>
      <w:r w:rsidR="0060762A" w:rsidRPr="0060762A">
        <w:rPr>
          <w:rFonts w:eastAsiaTheme="minorHAnsi"/>
          <w:noProof/>
        </w:rPr>
        <w:t>(Herrera-Aristizábal et al., 2017)</w:t>
      </w:r>
      <w:r w:rsidR="00FE14BF">
        <w:rPr>
          <w:rFonts w:eastAsiaTheme="minorHAnsi"/>
        </w:rPr>
        <w:fldChar w:fldCharType="end"/>
      </w:r>
      <w:r w:rsidR="00FE14BF">
        <w:rPr>
          <w:rFonts w:eastAsiaTheme="minorHAnsi"/>
        </w:rPr>
        <w:t>, moreover, not requiring a large quantity of information and can be performed through WARGUI, a free and accessible software</w:t>
      </w:r>
      <w:r w:rsidR="00384689">
        <w:rPr>
          <w:rFonts w:eastAsiaTheme="minorHAnsi"/>
        </w:rPr>
        <w:t>.</w:t>
      </w:r>
    </w:p>
    <w:p w14:paraId="5A95B494" w14:textId="77777777" w:rsidR="000F42E2" w:rsidRDefault="00DE1103" w:rsidP="00027FDC">
      <w:pPr>
        <w:pStyle w:val="CETHeading1"/>
      </w:pPr>
      <w:r>
        <w:t>Materials and methods</w:t>
      </w:r>
    </w:p>
    <w:p w14:paraId="4C5504D2" w14:textId="12873F96" w:rsidR="00027FDC" w:rsidRPr="000F42E2" w:rsidRDefault="000F42E2" w:rsidP="000F42E2">
      <w:pPr>
        <w:pStyle w:val="CETBodytext"/>
      </w:pPr>
      <w:r w:rsidRPr="000F42E2">
        <w:t xml:space="preserve">The methodology followed for the environmental assessment of the emerging microalgae-based topology for biodiesel production is described as follows: The process modeling is performed using information reported in the literature such as processing stages, operating conditions, and conversion of chemical reactions. The process data obtained in the modeling step is used to simulate the </w:t>
      </w:r>
      <w:r w:rsidR="00C31768">
        <w:t>topology</w:t>
      </w:r>
      <w:r w:rsidRPr="000F42E2">
        <w:t xml:space="preserve"> through the Aspen Plus software. Finally, the environmental performance of the process is evaluated using WARGUI software, which requires the mass and energy balances obtained in the simulation step.</w:t>
      </w:r>
    </w:p>
    <w:p w14:paraId="26BD3326" w14:textId="4561F413" w:rsidR="00DE1103" w:rsidRDefault="00027FDC" w:rsidP="005F3A71">
      <w:pPr>
        <w:pStyle w:val="CETheadingx"/>
      </w:pPr>
      <w:r>
        <w:t xml:space="preserve">Process modeling  </w:t>
      </w:r>
    </w:p>
    <w:p w14:paraId="0B87FD00" w14:textId="40F400A0" w:rsidR="00027FDC" w:rsidRDefault="00027FDC" w:rsidP="00027FDC">
      <w:pPr>
        <w:pStyle w:val="CETBodytext"/>
      </w:pPr>
      <w:r w:rsidRPr="00D83DA7">
        <w:t xml:space="preserve">The block diagram for the production of microalgae-based biodiesel from microalgae via </w:t>
      </w:r>
      <w:r>
        <w:t>in-situ</w:t>
      </w:r>
      <w:r w:rsidRPr="00D83DA7">
        <w:t xml:space="preserve"> transesterification </w:t>
      </w:r>
      <w:proofErr w:type="gramStart"/>
      <w:r w:rsidRPr="00D83DA7">
        <w:t>is shown</w:t>
      </w:r>
      <w:proofErr w:type="gramEnd"/>
      <w:r w:rsidRPr="00D83DA7">
        <w:t xml:space="preserve"> in </w:t>
      </w:r>
      <w:r w:rsidRPr="00FE14BF">
        <w:t xml:space="preserve">Figure </w:t>
      </w:r>
      <w:r w:rsidR="00FE14BF" w:rsidRPr="00FE14BF">
        <w:t>1</w:t>
      </w:r>
      <w:r w:rsidRPr="00FE14BF">
        <w:t>.</w:t>
      </w:r>
      <w:r w:rsidRPr="00D83DA7">
        <w:t xml:space="preserve"> A stream of microalgae and nutrients at environmental conditions are fed to the process at the culture stage. Next, the microalgae are harvested by centrifugation and subjected to a drying process. The dried microalgae are sent to the transesterification stage where the reaction of the fatty acids and triglycerides contained in the microalgae with methanol in the presence of an acid catalyst occurs to produce methyl esters (biodiesel) and glycerol. Methanol and catalyst are added at a molar ratio of methanol: lipids 12:1 </w:t>
      </w:r>
      <w:r w:rsidRPr="00D83DA7">
        <w:fldChar w:fldCharType="begin" w:fldLock="1"/>
      </w:r>
      <w:r w:rsidR="0060762A">
        <w:instrText>ADDIN CSL_CITATION {"citationItems":[{"id":"ITEM-1","itemData":{"DOI":"10.1016/j.ejpe.2015.06.007","ISSN":"20902468","abstract":"The nature of alcohol and alcohol to oil molar ratio plays an important role on the method of biodiesel production. As a result, this paper examined different alcohols commonly used for the production of biodiesel fuel with more emphasis on methanol and ethanol. Further the different alcohol to oil molar ratios used for the production of biodiesel have been extensively discussed and reported. Also the effects of alcohol to molar ratios on biodiesel refining process and its physicochemical properties were investigated.","author":[{"dropping-particle":"","family":"Musa","given":"Idris Atadashi","non-dropping-particle":"","parse-names":false,"suffix":""}],"container-title":"Egyptian Journal of Petroleum","id":"ITEM-1","issue":"1","issued":{"date-parts":[["2016"]]},"page":"21-31","publisher":"Egyptian Petroleum Research Institute","title":"The effects of alcohol to oil molar ratios and the type of alcohol on biodiesel production using transesterification process","type":"article-journal","volume":"25"},"uris":["http://www.mendeley.com/documents/?uuid=f05430ab-db4a-4f59-be73-04185ac1f718"]}],"mendeley":{"formattedCitation":"(Musa, 2016)","plainTextFormattedCitation":"(Musa, 2016)","previouslyFormattedCitation":"[7]"},"properties":{"noteIndex":0},"schema":"https://github.com/citation-style-language/schema/raw/master/csl-citation.json"}</w:instrText>
      </w:r>
      <w:r w:rsidRPr="00D83DA7">
        <w:fldChar w:fldCharType="separate"/>
      </w:r>
      <w:r w:rsidR="0060762A" w:rsidRPr="0060762A">
        <w:rPr>
          <w:noProof/>
        </w:rPr>
        <w:t>(Musa, 2016)</w:t>
      </w:r>
      <w:r w:rsidRPr="00D83DA7">
        <w:fldChar w:fldCharType="end"/>
      </w:r>
      <w:r w:rsidRPr="00D83DA7">
        <w:t xml:space="preserve"> and catalyst: lipids 1:1 </w:t>
      </w:r>
      <w:r w:rsidRPr="00D83DA7">
        <w:fldChar w:fldCharType="begin" w:fldLock="1"/>
      </w:r>
      <w:r w:rsidR="0060762A">
        <w:instrText>ADDIN CSL_CITATION {"citationItems":[{"id":"ITEM-1","itemData":{"ISBN":"9788862650045","abstract":"… 1.1. Microalgae as Feedstocks for Biofuel Production .....1 1.2 … Table 8.3. European biodiesel standards specifications for biodiesel product..... 225 … transesterification products (for 1 t microalgae biomass converted) using a reacting molar …","author":[{"dropping-particle":"","family":"Ehimen Ehiaze","given":"Augustine","non-dropping-particle":"","parse-names":false,"suffix":""}],"id":"ITEM-1","issue":"October","issued":{"date-parts":[["2010"]]},"publisher":"University of Otago","title":"An investigation on the co-production of biodiesel and methane from microalgae","type":"thesis"},"uris":["http://www.mendeley.com/documents/?uuid=4ad59325-d54f-4113-b530-11ec2b114dba"]}],"mendeley":{"formattedCitation":"(Ehimen Ehiaze, 2010)","plainTextFormattedCitation":"(Ehimen Ehiaze, 2010)","previouslyFormattedCitation":"[8]"},"properties":{"noteIndex":0},"schema":"https://github.com/citation-style-language/schema/raw/master/csl-citation.json"}</w:instrText>
      </w:r>
      <w:r w:rsidRPr="00D83DA7">
        <w:fldChar w:fldCharType="separate"/>
      </w:r>
      <w:r w:rsidR="0060762A" w:rsidRPr="0060762A">
        <w:rPr>
          <w:noProof/>
        </w:rPr>
        <w:t>(Ehimen Ehiaze, 2010)</w:t>
      </w:r>
      <w:r w:rsidRPr="00D83DA7">
        <w:fldChar w:fldCharType="end"/>
      </w:r>
      <w:r w:rsidRPr="00D83DA7">
        <w:t>, respectively</w:t>
      </w:r>
      <w:r w:rsidR="00B54077">
        <w:t>.</w:t>
      </w:r>
      <w:r w:rsidRPr="00D83DA7">
        <w:t xml:space="preserve"> The mainstream is sent to a neutralization process while the microalgae cake is removed from the process.</w:t>
      </w:r>
      <w:r w:rsidR="000B0B82">
        <w:t xml:space="preserve"> </w:t>
      </w:r>
      <w:r w:rsidRPr="00D83DA7">
        <w:t xml:space="preserve">In the neutralization stage, </w:t>
      </w:r>
      <w:proofErr w:type="spellStart"/>
      <w:r w:rsidRPr="00D83DA7">
        <w:t>CaO</w:t>
      </w:r>
      <w:proofErr w:type="spellEnd"/>
      <w:r w:rsidRPr="00D83DA7">
        <w:t xml:space="preserve"> is added to neutralize the sulfuric acid; the calcium sulfate (CaSO</w:t>
      </w:r>
      <w:r w:rsidRPr="00D83DA7">
        <w:rPr>
          <w:vertAlign w:val="subscript"/>
        </w:rPr>
        <w:t>4</w:t>
      </w:r>
      <w:r w:rsidRPr="00D83DA7">
        <w:t xml:space="preserve">) obtained is discarded. </w:t>
      </w:r>
      <w:r w:rsidR="000B0B82">
        <w:t>Then</w:t>
      </w:r>
      <w:r w:rsidRPr="00D83DA7">
        <w:t xml:space="preserve">, the neutralized stream passes to the methanol recovery unit; the separated methanol is sent to the transesterification stage and the methanol-free stream goes to the washing unit. In this stage, the water removes the glycerol allowing the separation of the biodiesel. Finally, the biodiesel and glycerol are purified and obtained as pure products. </w:t>
      </w:r>
    </w:p>
    <w:p w14:paraId="4C7C0DEF" w14:textId="24EB14EB" w:rsidR="00027FDC" w:rsidRDefault="006938F9" w:rsidP="00F70BA7">
      <w:pPr>
        <w:pStyle w:val="CETBodytext"/>
        <w:jc w:val="center"/>
      </w:pPr>
      <w:r>
        <w:object w:dxaOrig="11801" w:dyaOrig="5701" w14:anchorId="100C72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75pt;height:204pt" o:ole="">
            <v:imagedata r:id="rId16" o:title=""/>
          </v:shape>
          <o:OLEObject Type="Embed" ProgID="Visio.Drawing.15" ShapeID="_x0000_i1025" DrawAspect="Content" ObjectID="_1709548367" r:id="rId17"/>
        </w:object>
      </w:r>
    </w:p>
    <w:p w14:paraId="7B3D930A" w14:textId="1CC77E0E" w:rsidR="00FE06EF" w:rsidRPr="00FE06EF" w:rsidRDefault="00FE06EF" w:rsidP="00F70BA7">
      <w:pPr>
        <w:pStyle w:val="CETCaption"/>
        <w:jc w:val="center"/>
      </w:pPr>
      <w:r>
        <w:t xml:space="preserve">Figure  </w:t>
      </w:r>
      <w:r>
        <w:fldChar w:fldCharType="begin"/>
      </w:r>
      <w:r>
        <w:instrText xml:space="preserve"> SEQ Figure_ \* ARABIC </w:instrText>
      </w:r>
      <w:r>
        <w:fldChar w:fldCharType="separate"/>
      </w:r>
      <w:r w:rsidR="00EA1B8A">
        <w:rPr>
          <w:noProof/>
        </w:rPr>
        <w:t>1</w:t>
      </w:r>
      <w:r>
        <w:fldChar w:fldCharType="end"/>
      </w:r>
      <w:r>
        <w:t xml:space="preserve">. </w:t>
      </w:r>
      <w:r w:rsidRPr="00C0033F">
        <w:t>Block diagram of microalgae-based biodiesel production via in-situ transesterification</w:t>
      </w:r>
    </w:p>
    <w:p w14:paraId="585F8621" w14:textId="1EF669B8" w:rsidR="000B0B82" w:rsidRDefault="005F3A71" w:rsidP="005F3A71">
      <w:pPr>
        <w:pStyle w:val="CETheadingx"/>
      </w:pPr>
      <w:r>
        <w:t xml:space="preserve">Process Simulation </w:t>
      </w:r>
    </w:p>
    <w:p w14:paraId="04D70B76" w14:textId="753FBC74" w:rsidR="00F70BA7" w:rsidRDefault="000239C4" w:rsidP="000239C4">
      <w:pPr>
        <w:pStyle w:val="CETBodytext"/>
      </w:pPr>
      <w:r w:rsidRPr="000239C4">
        <w:t xml:space="preserve">The simulation </w:t>
      </w:r>
      <w:r>
        <w:t xml:space="preserve">of the microalgae-based biodiesel production via in-situ transesterification was carried out using Aspen Plus Software. The first </w:t>
      </w:r>
      <w:r w:rsidRPr="00B037FF">
        <w:t xml:space="preserve">for the simulation consists of selecting from the software database the chemical substances involved in the processes; in this case, all the substances were available. Then, the thermodynamic model and the equation of state are selected; the appropriate choice of these must guarantee the correct estimation of the physicochemical properties of the chemical substances. Finally, all process data, processing steps, operating conditions, raw material flows, chemical reactions are entered </w:t>
      </w:r>
      <w:r w:rsidRPr="00B037FF">
        <w:fldChar w:fldCharType="begin" w:fldLock="1"/>
      </w:r>
      <w:r w:rsidR="0060762A">
        <w:instrText>ADDIN CSL_CITATION {"citationItems":[{"id":"ITEM-1","itemData":{"DOI":"10.1016/j.enconman.2014.01.024","ISSN":"01968904","abstract":"Empty fruit bunches (EFB), a main residue of the palm oil industry, are one of the most recent renewable energy resources and they promise a high yield of liquid with low gas and char. The objective of this study is to evaluate the economic feasibility of the biooil production process from EFB via fast pyrolysis using the fluidized-bed. A comprehensive model of a biooil production plant was developed utilizing a commercial process simulator. The total capital investment (TCI) was estimated for five different plant sizes. The EFB biooil plant was analyzed in terms of the specific capital cost (SCC), payback period (PBP), return on investment (ROI), and the product value (PV). The minimum profitable plant size was found to be 20 kton-dry EFB/yr at a PV of 0.47 $/kg of biooil including 39% of water. Sensitivity analysis was performed on the basis of the minimum plant size to identify key variables that have a strong impact on the PV. The plant size and the biooil yield showed a major influence on the PV. In the most optimistic scenario investigated in this study, biooil can be produced at a PV of 0.27 $/kg. © 2014 Elsevier Ltd. All rights reserved.","author":[{"dropping-particle":"","family":"Do","given":"Truong Xuan","non-dropping-particle":"","parse-names":false,"suffix":""},{"dropping-particle":"Il","family":"Lim","given":"Young","non-dropping-particle":"","parse-names":false,"suffix":""},{"dropping-particle":"","family":"Yeo","given":"Heejung","non-dropping-particle":"","parse-names":false,"suffix":""}],"container-title":"Energy Conversion and Management","id":"ITEM-1","issued":{"date-parts":[["2014"]]},"page":"525-534","publisher":"Elsevier Ltd","title":"Techno-economic analysis of biooil production process from palm empty fruit bunches","type":"article-journal","volume":"80"},"uris":["http://www.mendeley.com/documents/?uuid=2b6fd826-5873-4e31-acef-2976b3b6c73f"]}],"mendeley":{"formattedCitation":"(Do et al., 2014)","plainTextFormattedCitation":"(Do et al., 2014)","previouslyFormattedCitation":"[9]"},"properties":{"noteIndex":0},"schema":"https://github.com/citation-style-language/schema/raw/master/csl-citation.json"}</w:instrText>
      </w:r>
      <w:r w:rsidRPr="00B037FF">
        <w:fldChar w:fldCharType="separate"/>
      </w:r>
      <w:r w:rsidR="0060762A" w:rsidRPr="0060762A">
        <w:rPr>
          <w:noProof/>
        </w:rPr>
        <w:t>(Do et al., 2014)</w:t>
      </w:r>
      <w:r w:rsidRPr="00B037FF">
        <w:fldChar w:fldCharType="end"/>
      </w:r>
      <w:r w:rsidRPr="00B037FF">
        <w:t xml:space="preserve">. </w:t>
      </w:r>
      <w:r w:rsidR="00820AF0">
        <w:t>The</w:t>
      </w:r>
      <w:r w:rsidR="00CC7BAA" w:rsidRPr="00CC7BAA">
        <w:t xml:space="preserve"> microalgae </w:t>
      </w:r>
      <w:r w:rsidR="00820AF0">
        <w:t xml:space="preserve">used in this study </w:t>
      </w:r>
      <w:r w:rsidR="00CC7BAA" w:rsidRPr="00CC7BAA">
        <w:t xml:space="preserve">was </w:t>
      </w:r>
      <w:r w:rsidR="00CC7BAA" w:rsidRPr="006E30F6">
        <w:rPr>
          <w:i/>
          <w:iCs/>
        </w:rPr>
        <w:t>Chlorella vulgaris</w:t>
      </w:r>
      <w:r w:rsidR="00CC7BAA" w:rsidRPr="006E30F6">
        <w:t xml:space="preserve">. </w:t>
      </w:r>
      <w:r w:rsidR="009049B3" w:rsidRPr="006E30F6">
        <w:t>The information reported by (Peralta-Ruiz et al., 2013</w:t>
      </w:r>
      <w:proofErr w:type="gramStart"/>
      <w:r w:rsidR="009049B3" w:rsidRPr="006E30F6">
        <w:t xml:space="preserve">) </w:t>
      </w:r>
      <w:r w:rsidR="00CC7BAA" w:rsidRPr="006E30F6">
        <w:t xml:space="preserve"> a</w:t>
      </w:r>
      <w:r w:rsidR="009049B3" w:rsidRPr="006E30F6">
        <w:t>nd</w:t>
      </w:r>
      <w:proofErr w:type="gramEnd"/>
      <w:r w:rsidR="009049B3" w:rsidRPr="006E30F6">
        <w:t xml:space="preserve"> </w:t>
      </w:r>
      <w:r w:rsidR="00FE749B" w:rsidRPr="006E30F6">
        <w:t xml:space="preserve">(Piemonte, </w:t>
      </w:r>
      <w:r w:rsidR="00FE749B" w:rsidRPr="006E30F6">
        <w:lastRenderedPageBreak/>
        <w:t xml:space="preserve">et al., 2016) </w:t>
      </w:r>
      <w:r w:rsidR="00CC7BAA" w:rsidRPr="006E30F6">
        <w:t>w</w:t>
      </w:r>
      <w:r w:rsidR="006E30F6" w:rsidRPr="006E30F6">
        <w:t>ere</w:t>
      </w:r>
      <w:r w:rsidR="00CC7BAA" w:rsidRPr="006E30F6">
        <w:t xml:space="preserve"> taken into account in the simulation of the microalgae.</w:t>
      </w:r>
      <w:r w:rsidR="006E30F6" w:rsidRPr="006E30F6">
        <w:t xml:space="preserve"> F</w:t>
      </w:r>
      <w:r w:rsidR="009049B3" w:rsidRPr="006E30F6">
        <w:t xml:space="preserve">atty acid </w:t>
      </w:r>
      <w:r w:rsidR="00C02012" w:rsidRPr="006E30F6">
        <w:t xml:space="preserve">concentration of the microalgae is </w:t>
      </w:r>
      <w:r w:rsidR="00FE749B" w:rsidRPr="006E30F6">
        <w:t>shown in Table</w:t>
      </w:r>
      <w:r w:rsidR="006E30F6" w:rsidRPr="006E30F6">
        <w:t xml:space="preserve"> 1</w:t>
      </w:r>
      <w:r w:rsidR="00CC7BAA" w:rsidRPr="006E30F6">
        <w:t>.</w:t>
      </w:r>
    </w:p>
    <w:p w14:paraId="163E4913" w14:textId="447A1A24" w:rsidR="00FE749B" w:rsidRPr="00FE749B" w:rsidRDefault="00FE749B" w:rsidP="0053495F">
      <w:pPr>
        <w:pStyle w:val="CETTabletitle"/>
      </w:pPr>
      <w:r w:rsidRPr="00FE749B">
        <w:t xml:space="preserve">Table 1: </w:t>
      </w:r>
      <w:r w:rsidR="004156D9">
        <w:t>F</w:t>
      </w:r>
      <w:r w:rsidRPr="00FE749B">
        <w:t>atty acid concentration of the microalgae.</w:t>
      </w:r>
    </w:p>
    <w:tbl>
      <w:tblPr>
        <w:tblW w:w="8717" w:type="dxa"/>
        <w:tblInd w:w="70" w:type="dxa"/>
        <w:tblCellMar>
          <w:left w:w="70" w:type="dxa"/>
          <w:right w:w="70" w:type="dxa"/>
        </w:tblCellMar>
        <w:tblLook w:val="04A0" w:firstRow="1" w:lastRow="0" w:firstColumn="1" w:lastColumn="0" w:noHBand="0" w:noVBand="1"/>
      </w:tblPr>
      <w:tblGrid>
        <w:gridCol w:w="1621"/>
        <w:gridCol w:w="1143"/>
        <w:gridCol w:w="1143"/>
        <w:gridCol w:w="238"/>
        <w:gridCol w:w="1143"/>
        <w:gridCol w:w="1143"/>
        <w:gridCol w:w="1143"/>
        <w:gridCol w:w="1143"/>
      </w:tblGrid>
      <w:tr w:rsidR="00C02012" w:rsidRPr="008E773F" w14:paraId="22729833" w14:textId="77777777" w:rsidTr="009049B3">
        <w:trPr>
          <w:trHeight w:val="394"/>
        </w:trPr>
        <w:tc>
          <w:tcPr>
            <w:tcW w:w="1621" w:type="dxa"/>
            <w:tcBorders>
              <w:top w:val="single" w:sz="4" w:space="0" w:color="auto"/>
              <w:left w:val="nil"/>
              <w:bottom w:val="single" w:sz="4" w:space="0" w:color="auto"/>
              <w:right w:val="nil"/>
            </w:tcBorders>
            <w:shd w:val="clear" w:color="auto" w:fill="auto"/>
            <w:noWrap/>
            <w:vAlign w:val="bottom"/>
            <w:hideMark/>
          </w:tcPr>
          <w:p w14:paraId="09A6B876" w14:textId="43431161" w:rsidR="00C02012" w:rsidRPr="00537662" w:rsidRDefault="00C02012" w:rsidP="008E773F">
            <w:pPr>
              <w:tabs>
                <w:tab w:val="clear" w:pos="7100"/>
              </w:tabs>
              <w:spacing w:line="240" w:lineRule="auto"/>
              <w:jc w:val="center"/>
              <w:rPr>
                <w:rFonts w:cs="Arial"/>
                <w:b/>
                <w:color w:val="000000"/>
                <w:szCs w:val="18"/>
                <w:lang w:val="es-ES" w:eastAsia="es-ES"/>
              </w:rPr>
            </w:pPr>
            <w:proofErr w:type="spellStart"/>
            <w:r w:rsidRPr="00537662">
              <w:rPr>
                <w:rFonts w:cs="Arial"/>
                <w:b/>
                <w:color w:val="000000"/>
                <w:szCs w:val="18"/>
                <w:lang w:val="es-ES" w:eastAsia="es-ES"/>
              </w:rPr>
              <w:t>Fatty</w:t>
            </w:r>
            <w:proofErr w:type="spellEnd"/>
            <w:r w:rsidRPr="00537662">
              <w:rPr>
                <w:rFonts w:cs="Arial"/>
                <w:b/>
                <w:color w:val="000000"/>
                <w:szCs w:val="18"/>
                <w:lang w:val="es-ES" w:eastAsia="es-ES"/>
              </w:rPr>
              <w:t xml:space="preserve"> </w:t>
            </w:r>
            <w:proofErr w:type="spellStart"/>
            <w:r w:rsidRPr="00537662">
              <w:rPr>
                <w:rFonts w:cs="Arial"/>
                <w:b/>
                <w:color w:val="000000"/>
                <w:szCs w:val="18"/>
                <w:lang w:val="es-ES" w:eastAsia="es-ES"/>
              </w:rPr>
              <w:t>acid</w:t>
            </w:r>
            <w:proofErr w:type="spellEnd"/>
          </w:p>
        </w:tc>
        <w:tc>
          <w:tcPr>
            <w:tcW w:w="1143" w:type="dxa"/>
            <w:tcBorders>
              <w:top w:val="single" w:sz="4" w:space="0" w:color="auto"/>
              <w:left w:val="nil"/>
              <w:bottom w:val="single" w:sz="4" w:space="0" w:color="auto"/>
              <w:right w:val="nil"/>
            </w:tcBorders>
            <w:shd w:val="clear" w:color="auto" w:fill="auto"/>
            <w:noWrap/>
            <w:vAlign w:val="bottom"/>
            <w:hideMark/>
          </w:tcPr>
          <w:p w14:paraId="5BFF3EFD" w14:textId="3B4D0A4C" w:rsidR="00C02012" w:rsidRPr="00537662" w:rsidRDefault="009049B3" w:rsidP="008E773F">
            <w:pPr>
              <w:tabs>
                <w:tab w:val="clear" w:pos="7100"/>
              </w:tabs>
              <w:spacing w:line="240" w:lineRule="auto"/>
              <w:jc w:val="center"/>
              <w:rPr>
                <w:rFonts w:cs="Arial"/>
                <w:b/>
                <w:color w:val="000000"/>
                <w:szCs w:val="18"/>
                <w:lang w:val="es-ES" w:eastAsia="es-ES"/>
              </w:rPr>
            </w:pPr>
            <w:proofErr w:type="spellStart"/>
            <w:r w:rsidRPr="00537662">
              <w:rPr>
                <w:rFonts w:cs="Arial"/>
                <w:b/>
                <w:color w:val="000000"/>
                <w:szCs w:val="18"/>
                <w:lang w:val="es-ES" w:eastAsia="es-ES"/>
              </w:rPr>
              <w:t>Myristic</w:t>
            </w:r>
            <w:proofErr w:type="spellEnd"/>
          </w:p>
        </w:tc>
        <w:tc>
          <w:tcPr>
            <w:tcW w:w="1143" w:type="dxa"/>
            <w:tcBorders>
              <w:top w:val="single" w:sz="4" w:space="0" w:color="auto"/>
              <w:left w:val="nil"/>
              <w:bottom w:val="single" w:sz="4" w:space="0" w:color="auto"/>
              <w:right w:val="nil"/>
            </w:tcBorders>
            <w:shd w:val="clear" w:color="auto" w:fill="auto"/>
            <w:noWrap/>
            <w:vAlign w:val="bottom"/>
            <w:hideMark/>
          </w:tcPr>
          <w:p w14:paraId="6A204B9F" w14:textId="3DC12794" w:rsidR="00C02012" w:rsidRPr="00537662" w:rsidRDefault="009049B3" w:rsidP="008E773F">
            <w:pPr>
              <w:tabs>
                <w:tab w:val="clear" w:pos="7100"/>
              </w:tabs>
              <w:spacing w:line="240" w:lineRule="auto"/>
              <w:jc w:val="center"/>
              <w:rPr>
                <w:rFonts w:cs="Arial"/>
                <w:b/>
                <w:color w:val="000000"/>
                <w:szCs w:val="18"/>
                <w:lang w:val="es-ES" w:eastAsia="es-ES"/>
              </w:rPr>
            </w:pPr>
            <w:proofErr w:type="spellStart"/>
            <w:r w:rsidRPr="00537662">
              <w:rPr>
                <w:rFonts w:cs="Arial"/>
                <w:b/>
                <w:color w:val="000000"/>
                <w:szCs w:val="18"/>
                <w:lang w:val="es-ES" w:eastAsia="es-ES"/>
              </w:rPr>
              <w:t>Palmistic</w:t>
            </w:r>
            <w:proofErr w:type="spellEnd"/>
          </w:p>
        </w:tc>
        <w:tc>
          <w:tcPr>
            <w:tcW w:w="238" w:type="dxa"/>
            <w:tcBorders>
              <w:top w:val="single" w:sz="4" w:space="0" w:color="auto"/>
              <w:left w:val="nil"/>
              <w:bottom w:val="single" w:sz="4" w:space="0" w:color="auto"/>
              <w:right w:val="nil"/>
            </w:tcBorders>
          </w:tcPr>
          <w:p w14:paraId="20E2445D" w14:textId="77777777" w:rsidR="00C02012" w:rsidRPr="00537662" w:rsidRDefault="00C02012" w:rsidP="008E773F">
            <w:pPr>
              <w:tabs>
                <w:tab w:val="clear" w:pos="7100"/>
              </w:tabs>
              <w:spacing w:line="240" w:lineRule="auto"/>
              <w:jc w:val="center"/>
              <w:rPr>
                <w:rFonts w:cs="Arial"/>
                <w:b/>
                <w:color w:val="000000"/>
                <w:szCs w:val="18"/>
                <w:lang w:val="es-CO" w:eastAsia="es-ES"/>
              </w:rPr>
            </w:pPr>
          </w:p>
        </w:tc>
        <w:tc>
          <w:tcPr>
            <w:tcW w:w="1143" w:type="dxa"/>
            <w:tcBorders>
              <w:top w:val="single" w:sz="4" w:space="0" w:color="auto"/>
              <w:left w:val="nil"/>
              <w:bottom w:val="single" w:sz="4" w:space="0" w:color="auto"/>
              <w:right w:val="nil"/>
            </w:tcBorders>
            <w:shd w:val="clear" w:color="auto" w:fill="auto"/>
            <w:noWrap/>
            <w:vAlign w:val="bottom"/>
            <w:hideMark/>
          </w:tcPr>
          <w:p w14:paraId="7401F930" w14:textId="1EB83EA1" w:rsidR="00C02012" w:rsidRPr="00537662" w:rsidRDefault="009049B3" w:rsidP="008E773F">
            <w:pPr>
              <w:tabs>
                <w:tab w:val="clear" w:pos="7100"/>
              </w:tabs>
              <w:spacing w:line="240" w:lineRule="auto"/>
              <w:jc w:val="center"/>
              <w:rPr>
                <w:rFonts w:cs="Arial"/>
                <w:b/>
                <w:color w:val="000000"/>
                <w:szCs w:val="18"/>
                <w:lang w:val="es-ES" w:eastAsia="es-ES"/>
              </w:rPr>
            </w:pPr>
            <w:proofErr w:type="spellStart"/>
            <w:r w:rsidRPr="00537662">
              <w:rPr>
                <w:rFonts w:cs="Arial"/>
                <w:b/>
                <w:color w:val="000000"/>
                <w:szCs w:val="18"/>
                <w:lang w:val="es-ES" w:eastAsia="es-ES"/>
              </w:rPr>
              <w:t>Stearic</w:t>
            </w:r>
            <w:proofErr w:type="spellEnd"/>
          </w:p>
        </w:tc>
        <w:tc>
          <w:tcPr>
            <w:tcW w:w="1143" w:type="dxa"/>
            <w:tcBorders>
              <w:top w:val="single" w:sz="4" w:space="0" w:color="auto"/>
              <w:left w:val="nil"/>
              <w:bottom w:val="single" w:sz="4" w:space="0" w:color="auto"/>
              <w:right w:val="nil"/>
            </w:tcBorders>
            <w:shd w:val="clear" w:color="auto" w:fill="auto"/>
            <w:noWrap/>
            <w:vAlign w:val="bottom"/>
            <w:hideMark/>
          </w:tcPr>
          <w:p w14:paraId="0AC18BE5" w14:textId="25D46913" w:rsidR="00C02012" w:rsidRPr="00537662" w:rsidRDefault="009049B3" w:rsidP="008E773F">
            <w:pPr>
              <w:tabs>
                <w:tab w:val="clear" w:pos="7100"/>
              </w:tabs>
              <w:spacing w:line="240" w:lineRule="auto"/>
              <w:jc w:val="center"/>
              <w:rPr>
                <w:rFonts w:cs="Arial"/>
                <w:b/>
                <w:color w:val="000000"/>
                <w:szCs w:val="18"/>
                <w:lang w:val="es-ES" w:eastAsia="es-ES"/>
              </w:rPr>
            </w:pPr>
            <w:proofErr w:type="spellStart"/>
            <w:r w:rsidRPr="00537662">
              <w:rPr>
                <w:rFonts w:cs="Arial"/>
                <w:b/>
                <w:color w:val="000000"/>
                <w:szCs w:val="18"/>
                <w:lang w:val="es-ES" w:eastAsia="es-ES"/>
              </w:rPr>
              <w:t>Oleic</w:t>
            </w:r>
            <w:proofErr w:type="spellEnd"/>
          </w:p>
        </w:tc>
        <w:tc>
          <w:tcPr>
            <w:tcW w:w="1143" w:type="dxa"/>
            <w:tcBorders>
              <w:top w:val="single" w:sz="4" w:space="0" w:color="auto"/>
              <w:left w:val="nil"/>
              <w:bottom w:val="single" w:sz="4" w:space="0" w:color="auto"/>
              <w:right w:val="nil"/>
            </w:tcBorders>
            <w:shd w:val="clear" w:color="auto" w:fill="auto"/>
            <w:noWrap/>
            <w:vAlign w:val="bottom"/>
            <w:hideMark/>
          </w:tcPr>
          <w:p w14:paraId="3E208192" w14:textId="33C97153" w:rsidR="00C02012" w:rsidRPr="00537662" w:rsidRDefault="009049B3" w:rsidP="008E773F">
            <w:pPr>
              <w:tabs>
                <w:tab w:val="clear" w:pos="7100"/>
              </w:tabs>
              <w:spacing w:line="240" w:lineRule="auto"/>
              <w:jc w:val="center"/>
              <w:rPr>
                <w:rFonts w:cs="Arial"/>
                <w:b/>
                <w:color w:val="000000"/>
                <w:szCs w:val="18"/>
                <w:lang w:val="es-ES" w:eastAsia="es-ES"/>
              </w:rPr>
            </w:pPr>
            <w:proofErr w:type="spellStart"/>
            <w:r w:rsidRPr="00537662">
              <w:rPr>
                <w:rFonts w:cs="Arial"/>
                <w:b/>
                <w:color w:val="000000"/>
                <w:szCs w:val="18"/>
                <w:lang w:val="es-ES" w:eastAsia="es-ES"/>
              </w:rPr>
              <w:t>Linoleic</w:t>
            </w:r>
            <w:proofErr w:type="spellEnd"/>
          </w:p>
        </w:tc>
        <w:tc>
          <w:tcPr>
            <w:tcW w:w="1143" w:type="dxa"/>
            <w:tcBorders>
              <w:top w:val="single" w:sz="4" w:space="0" w:color="auto"/>
              <w:left w:val="nil"/>
              <w:bottom w:val="single" w:sz="4" w:space="0" w:color="auto"/>
              <w:right w:val="nil"/>
            </w:tcBorders>
            <w:shd w:val="clear" w:color="auto" w:fill="auto"/>
            <w:noWrap/>
            <w:vAlign w:val="bottom"/>
          </w:tcPr>
          <w:p w14:paraId="642AAD86" w14:textId="77777777" w:rsidR="009049B3" w:rsidRPr="00537662" w:rsidRDefault="009049B3" w:rsidP="009049B3">
            <w:pPr>
              <w:tabs>
                <w:tab w:val="clear" w:pos="7100"/>
              </w:tabs>
              <w:spacing w:line="240" w:lineRule="auto"/>
              <w:jc w:val="center"/>
              <w:rPr>
                <w:rFonts w:cs="Arial"/>
                <w:b/>
                <w:color w:val="000000"/>
                <w:szCs w:val="18"/>
                <w:lang w:val="es-ES" w:eastAsia="es-ES"/>
              </w:rPr>
            </w:pPr>
          </w:p>
          <w:p w14:paraId="00178C6B" w14:textId="1C2216E8" w:rsidR="00C02012" w:rsidRPr="00537662" w:rsidRDefault="009049B3" w:rsidP="009049B3">
            <w:pPr>
              <w:tabs>
                <w:tab w:val="clear" w:pos="7100"/>
              </w:tabs>
              <w:spacing w:line="240" w:lineRule="auto"/>
              <w:jc w:val="center"/>
              <w:rPr>
                <w:rFonts w:cs="Arial"/>
                <w:b/>
                <w:color w:val="000000"/>
                <w:szCs w:val="18"/>
                <w:lang w:val="es-ES" w:eastAsia="es-ES"/>
              </w:rPr>
            </w:pPr>
            <w:proofErr w:type="spellStart"/>
            <w:r w:rsidRPr="00537662">
              <w:rPr>
                <w:rFonts w:cs="Arial"/>
                <w:b/>
                <w:color w:val="000000"/>
                <w:szCs w:val="18"/>
                <w:lang w:val="es-ES" w:eastAsia="es-ES"/>
              </w:rPr>
              <w:t>Linolenic</w:t>
            </w:r>
            <w:proofErr w:type="spellEnd"/>
          </w:p>
        </w:tc>
      </w:tr>
      <w:tr w:rsidR="00C02012" w:rsidRPr="008E773F" w14:paraId="569F7CE9" w14:textId="77777777" w:rsidTr="00C02012">
        <w:trPr>
          <w:trHeight w:val="69"/>
        </w:trPr>
        <w:tc>
          <w:tcPr>
            <w:tcW w:w="1621" w:type="dxa"/>
            <w:tcBorders>
              <w:top w:val="nil"/>
              <w:left w:val="nil"/>
              <w:bottom w:val="single" w:sz="4" w:space="0" w:color="auto"/>
              <w:right w:val="nil"/>
            </w:tcBorders>
            <w:shd w:val="clear" w:color="auto" w:fill="auto"/>
            <w:vAlign w:val="bottom"/>
            <w:hideMark/>
          </w:tcPr>
          <w:p w14:paraId="2145A044" w14:textId="31CE5253" w:rsidR="00C02012" w:rsidRPr="008E773F" w:rsidRDefault="009049B3" w:rsidP="008E773F">
            <w:pPr>
              <w:tabs>
                <w:tab w:val="clear" w:pos="7100"/>
              </w:tabs>
              <w:spacing w:line="240" w:lineRule="auto"/>
              <w:jc w:val="center"/>
              <w:rPr>
                <w:rFonts w:cs="Arial"/>
                <w:color w:val="000000"/>
                <w:szCs w:val="18"/>
                <w:lang w:val="es-ES" w:eastAsia="es-ES"/>
              </w:rPr>
            </w:pPr>
            <w:proofErr w:type="spellStart"/>
            <w:r>
              <w:rPr>
                <w:rFonts w:cs="Arial"/>
                <w:color w:val="000000"/>
                <w:szCs w:val="18"/>
                <w:lang w:val="es-ES" w:eastAsia="es-ES"/>
              </w:rPr>
              <w:t>Composition</w:t>
            </w:r>
            <w:proofErr w:type="spellEnd"/>
            <w:r>
              <w:rPr>
                <w:rFonts w:cs="Arial"/>
                <w:color w:val="000000"/>
                <w:szCs w:val="18"/>
                <w:lang w:val="es-ES" w:eastAsia="es-ES"/>
              </w:rPr>
              <w:t xml:space="preserve"> (%)</w:t>
            </w:r>
          </w:p>
        </w:tc>
        <w:tc>
          <w:tcPr>
            <w:tcW w:w="1143" w:type="dxa"/>
            <w:tcBorders>
              <w:top w:val="nil"/>
              <w:left w:val="nil"/>
              <w:bottom w:val="single" w:sz="4" w:space="0" w:color="auto"/>
              <w:right w:val="nil"/>
            </w:tcBorders>
            <w:shd w:val="clear" w:color="auto" w:fill="auto"/>
            <w:noWrap/>
            <w:vAlign w:val="bottom"/>
            <w:hideMark/>
          </w:tcPr>
          <w:p w14:paraId="0722199D" w14:textId="4C7C4E94" w:rsidR="00C02012" w:rsidRPr="008E773F" w:rsidRDefault="009049B3" w:rsidP="008E773F">
            <w:pPr>
              <w:tabs>
                <w:tab w:val="clear" w:pos="7100"/>
              </w:tabs>
              <w:spacing w:line="240" w:lineRule="auto"/>
              <w:jc w:val="center"/>
              <w:rPr>
                <w:rFonts w:cs="Arial"/>
                <w:color w:val="000000"/>
                <w:szCs w:val="18"/>
                <w:lang w:val="es-ES" w:eastAsia="es-ES"/>
              </w:rPr>
            </w:pPr>
            <w:r>
              <w:rPr>
                <w:rFonts w:cs="Arial"/>
                <w:color w:val="000000"/>
                <w:szCs w:val="18"/>
                <w:lang w:val="es-CO" w:eastAsia="es-ES"/>
              </w:rPr>
              <w:t>9</w:t>
            </w:r>
          </w:p>
        </w:tc>
        <w:tc>
          <w:tcPr>
            <w:tcW w:w="1143" w:type="dxa"/>
            <w:tcBorders>
              <w:top w:val="nil"/>
              <w:left w:val="nil"/>
              <w:bottom w:val="single" w:sz="4" w:space="0" w:color="auto"/>
              <w:right w:val="nil"/>
            </w:tcBorders>
            <w:shd w:val="clear" w:color="auto" w:fill="auto"/>
            <w:noWrap/>
            <w:vAlign w:val="bottom"/>
            <w:hideMark/>
          </w:tcPr>
          <w:p w14:paraId="423D4565" w14:textId="3083E48F" w:rsidR="00C02012" w:rsidRPr="008E773F" w:rsidRDefault="009049B3" w:rsidP="008E773F">
            <w:pPr>
              <w:tabs>
                <w:tab w:val="clear" w:pos="7100"/>
              </w:tabs>
              <w:spacing w:line="240" w:lineRule="auto"/>
              <w:jc w:val="center"/>
              <w:rPr>
                <w:rFonts w:cs="Arial"/>
                <w:color w:val="000000"/>
                <w:szCs w:val="18"/>
                <w:lang w:val="es-ES" w:eastAsia="es-ES"/>
              </w:rPr>
            </w:pPr>
            <w:r>
              <w:rPr>
                <w:rFonts w:cs="Arial"/>
                <w:color w:val="000000"/>
                <w:szCs w:val="18"/>
                <w:lang w:val="es-CO" w:eastAsia="es-ES"/>
              </w:rPr>
              <w:t>46</w:t>
            </w:r>
          </w:p>
        </w:tc>
        <w:tc>
          <w:tcPr>
            <w:tcW w:w="238" w:type="dxa"/>
            <w:tcBorders>
              <w:top w:val="nil"/>
              <w:left w:val="nil"/>
              <w:bottom w:val="single" w:sz="4" w:space="0" w:color="auto"/>
              <w:right w:val="nil"/>
            </w:tcBorders>
          </w:tcPr>
          <w:p w14:paraId="02B1ACEE" w14:textId="77777777" w:rsidR="00C02012" w:rsidRPr="008E773F" w:rsidRDefault="00C02012" w:rsidP="008E773F">
            <w:pPr>
              <w:tabs>
                <w:tab w:val="clear" w:pos="7100"/>
              </w:tabs>
              <w:spacing w:line="240" w:lineRule="auto"/>
              <w:jc w:val="center"/>
              <w:rPr>
                <w:rFonts w:cs="Arial"/>
                <w:color w:val="000000"/>
                <w:szCs w:val="18"/>
                <w:lang w:val="es-CO" w:eastAsia="es-ES"/>
              </w:rPr>
            </w:pPr>
          </w:p>
        </w:tc>
        <w:tc>
          <w:tcPr>
            <w:tcW w:w="1143" w:type="dxa"/>
            <w:tcBorders>
              <w:top w:val="nil"/>
              <w:left w:val="nil"/>
              <w:bottom w:val="single" w:sz="4" w:space="0" w:color="auto"/>
              <w:right w:val="nil"/>
            </w:tcBorders>
            <w:shd w:val="clear" w:color="auto" w:fill="auto"/>
            <w:noWrap/>
            <w:vAlign w:val="bottom"/>
            <w:hideMark/>
          </w:tcPr>
          <w:p w14:paraId="439C17B9" w14:textId="1C47F162" w:rsidR="00C02012" w:rsidRPr="008E773F" w:rsidRDefault="009049B3" w:rsidP="008E773F">
            <w:pPr>
              <w:tabs>
                <w:tab w:val="clear" w:pos="7100"/>
              </w:tabs>
              <w:spacing w:line="240" w:lineRule="auto"/>
              <w:jc w:val="center"/>
              <w:rPr>
                <w:rFonts w:cs="Arial"/>
                <w:color w:val="000000"/>
                <w:szCs w:val="18"/>
                <w:lang w:val="es-ES" w:eastAsia="es-ES"/>
              </w:rPr>
            </w:pPr>
            <w:r>
              <w:rPr>
                <w:rFonts w:cs="Arial"/>
                <w:color w:val="000000"/>
                <w:szCs w:val="18"/>
                <w:lang w:val="es-CO" w:eastAsia="es-ES"/>
              </w:rPr>
              <w:t>1</w:t>
            </w:r>
          </w:p>
        </w:tc>
        <w:tc>
          <w:tcPr>
            <w:tcW w:w="1143" w:type="dxa"/>
            <w:tcBorders>
              <w:top w:val="nil"/>
              <w:left w:val="nil"/>
              <w:bottom w:val="single" w:sz="4" w:space="0" w:color="auto"/>
              <w:right w:val="nil"/>
            </w:tcBorders>
            <w:shd w:val="clear" w:color="auto" w:fill="auto"/>
            <w:noWrap/>
            <w:vAlign w:val="bottom"/>
            <w:hideMark/>
          </w:tcPr>
          <w:p w14:paraId="5646DA7D" w14:textId="24F8A29F" w:rsidR="00C02012" w:rsidRPr="008E773F" w:rsidRDefault="009049B3" w:rsidP="008E773F">
            <w:pPr>
              <w:tabs>
                <w:tab w:val="clear" w:pos="7100"/>
              </w:tabs>
              <w:spacing w:line="240" w:lineRule="auto"/>
              <w:jc w:val="center"/>
              <w:rPr>
                <w:rFonts w:cs="Arial"/>
                <w:color w:val="000000"/>
                <w:szCs w:val="18"/>
                <w:lang w:val="es-ES" w:eastAsia="es-ES"/>
              </w:rPr>
            </w:pPr>
            <w:r>
              <w:rPr>
                <w:rFonts w:cs="Arial"/>
                <w:color w:val="000000"/>
                <w:szCs w:val="18"/>
                <w:lang w:val="es-CO" w:eastAsia="es-ES"/>
              </w:rPr>
              <w:t>5</w:t>
            </w:r>
          </w:p>
        </w:tc>
        <w:tc>
          <w:tcPr>
            <w:tcW w:w="1143" w:type="dxa"/>
            <w:tcBorders>
              <w:top w:val="nil"/>
              <w:left w:val="nil"/>
              <w:bottom w:val="single" w:sz="4" w:space="0" w:color="auto"/>
              <w:right w:val="nil"/>
            </w:tcBorders>
            <w:shd w:val="clear" w:color="auto" w:fill="auto"/>
            <w:noWrap/>
            <w:vAlign w:val="bottom"/>
            <w:hideMark/>
          </w:tcPr>
          <w:p w14:paraId="7738D5C8" w14:textId="5A6C795B" w:rsidR="00C02012" w:rsidRPr="008E773F" w:rsidRDefault="009049B3" w:rsidP="008E773F">
            <w:pPr>
              <w:tabs>
                <w:tab w:val="clear" w:pos="7100"/>
              </w:tabs>
              <w:spacing w:line="240" w:lineRule="auto"/>
              <w:jc w:val="center"/>
              <w:rPr>
                <w:rFonts w:cs="Arial"/>
                <w:color w:val="000000"/>
                <w:szCs w:val="18"/>
                <w:lang w:val="es-ES" w:eastAsia="es-ES"/>
              </w:rPr>
            </w:pPr>
            <w:r>
              <w:rPr>
                <w:rFonts w:cs="Arial"/>
                <w:color w:val="000000"/>
                <w:szCs w:val="18"/>
                <w:lang w:val="es-CO" w:eastAsia="es-ES"/>
              </w:rPr>
              <w:t>20</w:t>
            </w:r>
          </w:p>
        </w:tc>
        <w:tc>
          <w:tcPr>
            <w:tcW w:w="1143" w:type="dxa"/>
            <w:tcBorders>
              <w:top w:val="nil"/>
              <w:left w:val="nil"/>
              <w:bottom w:val="single" w:sz="4" w:space="0" w:color="auto"/>
              <w:right w:val="nil"/>
            </w:tcBorders>
            <w:shd w:val="clear" w:color="auto" w:fill="auto"/>
            <w:noWrap/>
            <w:vAlign w:val="bottom"/>
            <w:hideMark/>
          </w:tcPr>
          <w:p w14:paraId="5A6E5AD5" w14:textId="3CB9619C" w:rsidR="00C02012" w:rsidRPr="008E773F" w:rsidRDefault="009049B3" w:rsidP="008E773F">
            <w:pPr>
              <w:tabs>
                <w:tab w:val="clear" w:pos="7100"/>
              </w:tabs>
              <w:spacing w:line="240" w:lineRule="auto"/>
              <w:jc w:val="center"/>
              <w:rPr>
                <w:rFonts w:cs="Arial"/>
                <w:color w:val="000000"/>
                <w:szCs w:val="18"/>
                <w:lang w:val="es-ES" w:eastAsia="es-ES"/>
              </w:rPr>
            </w:pPr>
            <w:r>
              <w:rPr>
                <w:rFonts w:cs="Arial"/>
                <w:color w:val="000000"/>
                <w:szCs w:val="18"/>
                <w:lang w:val="es-CO" w:eastAsia="es-ES"/>
              </w:rPr>
              <w:t>19</w:t>
            </w:r>
          </w:p>
        </w:tc>
      </w:tr>
    </w:tbl>
    <w:p w14:paraId="616802CC" w14:textId="21505C66" w:rsidR="000239C4" w:rsidRDefault="000239C4" w:rsidP="000239C4">
      <w:pPr>
        <w:pStyle w:val="CETheadingx"/>
      </w:pPr>
      <w:r>
        <w:t xml:space="preserve">Environmental assessment </w:t>
      </w:r>
    </w:p>
    <w:p w14:paraId="169E512C" w14:textId="0B93E0DB" w:rsidR="00567250" w:rsidRDefault="00CC4AD2" w:rsidP="00567250">
      <w:pPr>
        <w:pStyle w:val="CETBodytext"/>
      </w:pPr>
      <w:r w:rsidRPr="00567250">
        <w:t xml:space="preserve">The environmental assessment is used to determine the possible environmental impacts of a present or future industrial activity with the potential to cause ecological imbalance or exceed the limits established in the provisions for ecosystem protection </w:t>
      </w:r>
      <w:r w:rsidRPr="00567250">
        <w:fldChar w:fldCharType="begin" w:fldLock="1"/>
      </w:r>
      <w:r w:rsidR="0060762A">
        <w:instrText>ADDIN CSL_CITATION {"citationItems":[{"id":"ITEM-1","itemData":{"author":[{"dropping-particle":"","family":"Pardo- Cardenas","given":"Yenniffer.","non-dropping-particle":"","parse-names":false,"suffix":""},{"dropping-particle":"","family":"Herrera- Orozco","given":"Israel.","non-dropping-particle":"","parse-names":false,"suffix":""},{"dropping-particle":"","family":"González- Delgado","given":"Angel D","non-dropping-particle":"","parse-names":false,"suffix":""},{"dropping-particle":"","family":"Kafarov","given":"Viatcheslav","non-dropping-particle":"","parse-names":false,"suffix":""}],"container-title":"Latinoamerican journal of oil &amp; gas and alternative energy","id":"ITEM-1","issued":{"date-parts":[["2013"]]},"page":"85-100","title":"Enviromental Assessment of Microalgae Biosiesel Production in Colombia: Comparison of Three oil Extraction Systems","type":"article-journal","volume":"5"},"uris":["http://www.mendeley.com/documents/?uuid=52bcfbf8-176f-4427-b34d-0316c9006160"]}],"mendeley":{"formattedCitation":"(Pardo- Cardenas et al., 2013)","plainTextFormattedCitation":"(Pardo- Cardenas et al., 2013)","previouslyFormattedCitation":"[10]"},"properties":{"noteIndex":0},"schema":"https://github.com/citation-style-language/schema/raw/master/csl-citation.json"}</w:instrText>
      </w:r>
      <w:r w:rsidRPr="00567250">
        <w:fldChar w:fldCharType="separate"/>
      </w:r>
      <w:r w:rsidR="0060762A" w:rsidRPr="0060762A">
        <w:rPr>
          <w:noProof/>
        </w:rPr>
        <w:t>(Pardo- Cardenas et al., 2013)</w:t>
      </w:r>
      <w:r w:rsidRPr="00567250">
        <w:fldChar w:fldCharType="end"/>
      </w:r>
      <w:r w:rsidRPr="00567250">
        <w:t xml:space="preserve">. </w:t>
      </w:r>
      <w:r w:rsidR="009441D1" w:rsidRPr="00567250">
        <w:t xml:space="preserve"> The Waste Reduction Algorithm (WAR) is a methodology developed to evaluate and quantify the output and generated potential environmental impact (PEI) of industrial processes.</w:t>
      </w:r>
      <w:r w:rsidR="00567250" w:rsidRPr="00567250">
        <w:t xml:space="preserve"> Also, it allows the evaluation of PEI under eight impact categories: human toxicity potential by ingestion (HTPI), human toxicity potential by inhalation or dermal exposure (HTPE), aquatic toxicity potential (ATP), terrestrial toxicity potential (TTP), ozone depletion potential (ODP), global warming potential (GWP), photochemical oxidation potential (PCOP) or smog formation, and acidification potential (AP). </w:t>
      </w:r>
      <w:r w:rsidR="00567250">
        <w:t xml:space="preserve"> </w:t>
      </w:r>
      <w:r w:rsidR="00FE14BF">
        <w:t xml:space="preserve"> </w:t>
      </w:r>
      <w:r w:rsidR="00567250" w:rsidRPr="00567250">
        <w:t xml:space="preserve">The output PEI measures the impact emitted by the process to its surroundings, while the generated PEI allows determining the internal environmental efficiency of the process, in other words, the amount of environmental impact that is being consumed or generated. Both indicators can be calculated per unit of time or mass as shown in equations </w:t>
      </w:r>
      <w:r w:rsidR="00314F76">
        <w:t>1</w:t>
      </w:r>
      <w:r w:rsidR="00567250">
        <w:t>-</w:t>
      </w:r>
      <w:r w:rsidR="00314F76">
        <w:t>4</w:t>
      </w:r>
      <w:r w:rsidR="00567250">
        <w:t xml:space="preserve">. </w:t>
      </w:r>
    </w:p>
    <w:tbl>
      <w:tblPr>
        <w:tblStyle w:val="Tablaconcuadrcula"/>
        <w:tblW w:w="89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7"/>
        <w:gridCol w:w="448"/>
      </w:tblGrid>
      <w:tr w:rsidR="00CC4AD2" w:rsidRPr="00EF4FCF" w14:paraId="2646C3C5" w14:textId="57EF6E43" w:rsidTr="00224DAA">
        <w:trPr>
          <w:trHeight w:val="476"/>
        </w:trPr>
        <w:tc>
          <w:tcPr>
            <w:tcW w:w="8497" w:type="dxa"/>
          </w:tcPr>
          <w:p w14:paraId="142D3B40" w14:textId="77777777" w:rsidR="00CC4AD2" w:rsidRPr="00EF4FCF" w:rsidRDefault="007E69B7" w:rsidP="00567250">
            <w:pPr>
              <w:pStyle w:val="CETEquation"/>
              <w:rPr>
                <w:rFonts w:ascii="Arno Pro" w:hAnsi="Arno Pro"/>
                <w:lang w:val="es-CO"/>
              </w:rPr>
            </w:pPr>
            <m:oMathPara>
              <m:oMath>
                <m:sSubSup>
                  <m:sSubSupPr>
                    <m:ctrlPr>
                      <w:rPr>
                        <w:rFonts w:ascii="Cambria Math" w:hAnsi="Cambria Math"/>
                        <w:lang w:val="es-MX"/>
                      </w:rPr>
                    </m:ctrlPr>
                  </m:sSubSupPr>
                  <m:e>
                    <m:acc>
                      <m:accPr>
                        <m:ctrlPr>
                          <w:rPr>
                            <w:rFonts w:ascii="Cambria Math" w:hAnsi="Cambria Math"/>
                            <w:lang w:val="es-MX"/>
                          </w:rPr>
                        </m:ctrlPr>
                      </m:accPr>
                      <m:e>
                        <m:acc>
                          <m:accPr>
                            <m:chr m:val="̇"/>
                            <m:ctrlPr>
                              <w:rPr>
                                <w:rFonts w:ascii="Cambria Math" w:hAnsi="Cambria Math"/>
                                <w:lang w:val="es-MX"/>
                              </w:rPr>
                            </m:ctrlPr>
                          </m:accPr>
                          <m:e>
                            <m:r>
                              <m:rPr>
                                <m:sty m:val="p"/>
                              </m:rPr>
                              <w:rPr>
                                <w:rFonts w:ascii="Cambria Math" w:hAnsi="Cambria Math"/>
                                <w:lang w:val="es-MX"/>
                              </w:rPr>
                              <m:t>i</m:t>
                            </m:r>
                          </m:e>
                        </m:acc>
                      </m:e>
                    </m:acc>
                  </m:e>
                  <m:sub>
                    <m:r>
                      <m:rPr>
                        <m:sty m:val="p"/>
                      </m:rPr>
                      <w:rPr>
                        <w:rFonts w:ascii="Cambria Math" w:hAnsi="Cambria Math"/>
                        <w:lang w:val="es-MX"/>
                      </w:rPr>
                      <m:t>out</m:t>
                    </m:r>
                  </m:sub>
                  <m:sup>
                    <m:r>
                      <m:rPr>
                        <m:sty m:val="p"/>
                      </m:rPr>
                      <w:rPr>
                        <w:rFonts w:ascii="Cambria Math" w:hAnsi="Cambria Math"/>
                        <w:lang w:val="es-MX"/>
                      </w:rPr>
                      <m:t>(t)</m:t>
                    </m:r>
                  </m:sup>
                </m:sSubSup>
                <m:r>
                  <m:rPr>
                    <m:sty m:val="p"/>
                  </m:rPr>
                  <w:rPr>
                    <w:rFonts w:ascii="Cambria Math" w:hAnsi="Cambria Math"/>
                    <w:lang w:val="es-MX"/>
                  </w:rPr>
                  <m:t>=</m:t>
                </m:r>
                <m:sSubSup>
                  <m:sSubSupPr>
                    <m:ctrlPr>
                      <w:rPr>
                        <w:rFonts w:ascii="Cambria Math" w:hAnsi="Cambria Math"/>
                        <w:lang w:val="es-MX"/>
                      </w:rPr>
                    </m:ctrlPr>
                  </m:sSubSupPr>
                  <m:e>
                    <m:acc>
                      <m:accPr>
                        <m:chr m:val="̇"/>
                        <m:ctrlPr>
                          <w:rPr>
                            <w:rFonts w:ascii="Cambria Math" w:hAnsi="Cambria Math"/>
                            <w:lang w:val="es-MX"/>
                          </w:rPr>
                        </m:ctrlPr>
                      </m:accPr>
                      <m:e>
                        <m:r>
                          <m:rPr>
                            <m:sty m:val="p"/>
                          </m:rPr>
                          <w:rPr>
                            <w:rFonts w:ascii="Cambria Math" w:hAnsi="Cambria Math"/>
                            <w:lang w:val="es-MX"/>
                          </w:rPr>
                          <m:t>i</m:t>
                        </m:r>
                      </m:e>
                    </m:acc>
                  </m:e>
                  <m:sub>
                    <m:r>
                      <m:rPr>
                        <m:sty m:val="p"/>
                      </m:rPr>
                      <w:rPr>
                        <w:rFonts w:ascii="Cambria Math" w:hAnsi="Cambria Math"/>
                        <w:lang w:val="es-MX"/>
                      </w:rPr>
                      <m:t>out</m:t>
                    </m:r>
                  </m:sub>
                  <m:sup>
                    <m:r>
                      <m:rPr>
                        <m:sty m:val="p"/>
                      </m:rPr>
                      <w:rPr>
                        <w:rFonts w:ascii="Cambria Math" w:hAnsi="Cambria Math"/>
                        <w:lang w:val="es-MX"/>
                      </w:rPr>
                      <m:t>(cp)</m:t>
                    </m:r>
                  </m:sup>
                </m:sSubSup>
                <m:r>
                  <m:rPr>
                    <m:sty m:val="p"/>
                  </m:rPr>
                  <w:rPr>
                    <w:rFonts w:ascii="Cambria Math" w:hAnsi="Cambria Math"/>
                    <w:lang w:val="es-MX"/>
                  </w:rPr>
                  <m:t>+</m:t>
                </m:r>
                <m:sSubSup>
                  <m:sSubSupPr>
                    <m:ctrlPr>
                      <w:rPr>
                        <w:rFonts w:ascii="Cambria Math" w:hAnsi="Cambria Math"/>
                        <w:lang w:val="es-MX"/>
                      </w:rPr>
                    </m:ctrlPr>
                  </m:sSubSupPr>
                  <m:e>
                    <m:acc>
                      <m:accPr>
                        <m:chr m:val="̇"/>
                        <m:ctrlPr>
                          <w:rPr>
                            <w:rFonts w:ascii="Cambria Math" w:hAnsi="Cambria Math"/>
                            <w:lang w:val="es-MX"/>
                          </w:rPr>
                        </m:ctrlPr>
                      </m:accPr>
                      <m:e>
                        <m:r>
                          <m:rPr>
                            <m:sty m:val="p"/>
                          </m:rPr>
                          <w:rPr>
                            <w:rFonts w:ascii="Cambria Math" w:hAnsi="Cambria Math"/>
                            <w:lang w:val="es-MX"/>
                          </w:rPr>
                          <m:t>i</m:t>
                        </m:r>
                      </m:e>
                    </m:acc>
                  </m:e>
                  <m:sub>
                    <m:r>
                      <m:rPr>
                        <m:sty m:val="p"/>
                      </m:rPr>
                      <w:rPr>
                        <w:rFonts w:ascii="Cambria Math" w:hAnsi="Cambria Math"/>
                        <w:lang w:val="es-MX"/>
                      </w:rPr>
                      <m:t>out</m:t>
                    </m:r>
                  </m:sub>
                  <m:sup>
                    <m:d>
                      <m:dPr>
                        <m:ctrlPr>
                          <w:rPr>
                            <w:rFonts w:ascii="Cambria Math" w:hAnsi="Cambria Math"/>
                            <w:lang w:val="es-MX"/>
                          </w:rPr>
                        </m:ctrlPr>
                      </m:dPr>
                      <m:e>
                        <m:r>
                          <m:rPr>
                            <m:sty m:val="p"/>
                          </m:rPr>
                          <w:rPr>
                            <w:rFonts w:ascii="Cambria Math" w:hAnsi="Cambria Math"/>
                            <w:lang w:val="es-MX"/>
                          </w:rPr>
                          <m:t>ep</m:t>
                        </m:r>
                      </m:e>
                    </m:d>
                  </m:sup>
                </m:sSubSup>
                <m:r>
                  <m:rPr>
                    <m:sty m:val="p"/>
                  </m:rPr>
                  <w:rPr>
                    <w:rFonts w:ascii="Cambria Math" w:hAnsi="Cambria Math"/>
                    <w:lang w:val="es-MX"/>
                  </w:rPr>
                  <m:t>+</m:t>
                </m:r>
                <m:sSubSup>
                  <m:sSubSupPr>
                    <m:ctrlPr>
                      <w:rPr>
                        <w:rFonts w:ascii="Cambria Math" w:hAnsi="Cambria Math"/>
                        <w:lang w:val="es-MX"/>
                      </w:rPr>
                    </m:ctrlPr>
                  </m:sSubSupPr>
                  <m:e>
                    <m:acc>
                      <m:accPr>
                        <m:chr m:val="̇"/>
                        <m:ctrlPr>
                          <w:rPr>
                            <w:rFonts w:ascii="Cambria Math" w:hAnsi="Cambria Math"/>
                            <w:lang w:val="es-MX"/>
                          </w:rPr>
                        </m:ctrlPr>
                      </m:accPr>
                      <m:e>
                        <m:r>
                          <m:rPr>
                            <m:sty m:val="p"/>
                          </m:rPr>
                          <w:rPr>
                            <w:rFonts w:ascii="Cambria Math" w:hAnsi="Cambria Math"/>
                            <w:lang w:val="es-MX"/>
                          </w:rPr>
                          <m:t>i</m:t>
                        </m:r>
                      </m:e>
                    </m:acc>
                  </m:e>
                  <m:sub>
                    <m:r>
                      <m:rPr>
                        <m:sty m:val="p"/>
                      </m:rPr>
                      <w:rPr>
                        <w:rFonts w:ascii="Cambria Math" w:hAnsi="Cambria Math"/>
                        <w:lang w:val="es-MX"/>
                      </w:rPr>
                      <m:t>we</m:t>
                    </m:r>
                  </m:sub>
                  <m:sup>
                    <m:d>
                      <m:dPr>
                        <m:ctrlPr>
                          <w:rPr>
                            <w:rFonts w:ascii="Cambria Math" w:hAnsi="Cambria Math"/>
                            <w:lang w:val="es-MX"/>
                          </w:rPr>
                        </m:ctrlPr>
                      </m:dPr>
                      <m:e>
                        <m:r>
                          <m:rPr>
                            <m:sty m:val="p"/>
                          </m:rPr>
                          <w:rPr>
                            <w:rFonts w:ascii="Cambria Math" w:hAnsi="Cambria Math"/>
                            <w:lang w:val="es-MX"/>
                          </w:rPr>
                          <m:t>cp</m:t>
                        </m:r>
                      </m:e>
                    </m:d>
                  </m:sup>
                </m:sSubSup>
                <m:r>
                  <m:rPr>
                    <m:sty m:val="p"/>
                  </m:rPr>
                  <w:rPr>
                    <w:rFonts w:ascii="Cambria Math" w:hAnsi="Cambria Math"/>
                    <w:lang w:val="es-MX"/>
                  </w:rPr>
                  <m:t>+</m:t>
                </m:r>
                <m:sSubSup>
                  <m:sSubSupPr>
                    <m:ctrlPr>
                      <w:rPr>
                        <w:rFonts w:ascii="Cambria Math" w:hAnsi="Cambria Math"/>
                        <w:lang w:val="es-MX"/>
                      </w:rPr>
                    </m:ctrlPr>
                  </m:sSubSupPr>
                  <m:e>
                    <m:acc>
                      <m:accPr>
                        <m:chr m:val="̇"/>
                        <m:ctrlPr>
                          <w:rPr>
                            <w:rFonts w:ascii="Cambria Math" w:hAnsi="Cambria Math"/>
                            <w:lang w:val="es-MX"/>
                          </w:rPr>
                        </m:ctrlPr>
                      </m:accPr>
                      <m:e>
                        <m:r>
                          <m:rPr>
                            <m:sty m:val="p"/>
                          </m:rPr>
                          <w:rPr>
                            <w:rFonts w:ascii="Cambria Math" w:hAnsi="Cambria Math"/>
                            <w:lang w:val="es-MX"/>
                          </w:rPr>
                          <m:t>i</m:t>
                        </m:r>
                      </m:e>
                    </m:acc>
                  </m:e>
                  <m:sub>
                    <m:r>
                      <m:rPr>
                        <m:sty m:val="p"/>
                      </m:rPr>
                      <w:rPr>
                        <w:rFonts w:ascii="Cambria Math" w:hAnsi="Cambria Math"/>
                        <w:lang w:val="es-MX"/>
                      </w:rPr>
                      <m:t>we</m:t>
                    </m:r>
                  </m:sub>
                  <m:sup>
                    <m:r>
                      <m:rPr>
                        <m:sty m:val="p"/>
                      </m:rPr>
                      <w:rPr>
                        <w:rFonts w:ascii="Cambria Math" w:hAnsi="Cambria Math"/>
                        <w:lang w:val="es-MX"/>
                      </w:rPr>
                      <m:t>(ep)</m:t>
                    </m:r>
                  </m:sup>
                </m:sSubSup>
              </m:oMath>
            </m:oMathPara>
          </w:p>
        </w:tc>
        <w:tc>
          <w:tcPr>
            <w:tcW w:w="448" w:type="dxa"/>
          </w:tcPr>
          <w:p w14:paraId="1765EF93" w14:textId="2D004D2D" w:rsidR="00CC4AD2" w:rsidRPr="00EF4FCF" w:rsidRDefault="00CC4AD2" w:rsidP="00567250">
            <w:pPr>
              <w:pStyle w:val="CETBodytext"/>
            </w:pPr>
            <w:r>
              <w:t>(1)</w:t>
            </w:r>
          </w:p>
        </w:tc>
      </w:tr>
      <w:tr w:rsidR="00CC4AD2" w:rsidRPr="00EF4FCF" w14:paraId="071C1F44" w14:textId="78E3F698" w:rsidTr="00224DAA">
        <w:trPr>
          <w:trHeight w:val="720"/>
        </w:trPr>
        <w:tc>
          <w:tcPr>
            <w:tcW w:w="8497" w:type="dxa"/>
          </w:tcPr>
          <w:p w14:paraId="03D114EB" w14:textId="77777777" w:rsidR="00CC4AD2" w:rsidRPr="00EF4FCF" w:rsidRDefault="007E69B7" w:rsidP="00567250">
            <w:pPr>
              <w:pStyle w:val="CETEquation"/>
              <w:rPr>
                <w:rFonts w:ascii="Arno Pro" w:hAnsi="Arno Pro"/>
                <w:lang w:val="es-CO"/>
              </w:rPr>
            </w:pPr>
            <m:oMathPara>
              <m:oMath>
                <m:sSubSup>
                  <m:sSubSupPr>
                    <m:ctrlPr>
                      <w:rPr>
                        <w:rFonts w:ascii="Cambria Math" w:hAnsi="Cambria Math"/>
                        <w:lang w:val="es-ES"/>
                      </w:rPr>
                    </m:ctrlPr>
                  </m:sSubSupPr>
                  <m:e>
                    <m:acc>
                      <m:accPr>
                        <m:ctrlPr>
                          <w:rPr>
                            <w:rFonts w:ascii="Cambria Math" w:hAnsi="Cambria Math"/>
                            <w:lang w:val="es-ES"/>
                          </w:rPr>
                        </m:ctrlPr>
                      </m:accPr>
                      <m:e>
                        <m:acc>
                          <m:accPr>
                            <m:chr m:val="̇"/>
                            <m:ctrlPr>
                              <w:rPr>
                                <w:rFonts w:ascii="Cambria Math" w:hAnsi="Cambria Math"/>
                                <w:lang w:val="es-ES"/>
                              </w:rPr>
                            </m:ctrlPr>
                          </m:accPr>
                          <m:e>
                            <m:r>
                              <m:rPr>
                                <m:sty m:val="p"/>
                              </m:rPr>
                              <w:rPr>
                                <w:rFonts w:ascii="Cambria Math" w:hAnsi="Cambria Math"/>
                                <w:lang w:val="es-ES"/>
                              </w:rPr>
                              <m:t>i</m:t>
                            </m:r>
                          </m:e>
                        </m:acc>
                      </m:e>
                    </m:acc>
                  </m:e>
                  <m:sub>
                    <m:r>
                      <m:rPr>
                        <m:sty m:val="p"/>
                      </m:rPr>
                      <w:rPr>
                        <w:rFonts w:ascii="Cambria Math" w:hAnsi="Cambria Math"/>
                        <w:lang w:val="es-ES"/>
                      </w:rPr>
                      <m:t>out</m:t>
                    </m:r>
                  </m:sub>
                  <m:sup>
                    <m:r>
                      <m:rPr>
                        <m:sty m:val="p"/>
                      </m:rPr>
                      <w:rPr>
                        <w:rFonts w:ascii="Cambria Math" w:hAnsi="Cambria Math"/>
                        <w:lang w:val="es-ES"/>
                      </w:rPr>
                      <m:t>(t)</m:t>
                    </m:r>
                  </m:sup>
                </m:sSubSup>
                <m:r>
                  <m:rPr>
                    <m:sty m:val="p"/>
                  </m:rPr>
                  <w:rPr>
                    <w:rFonts w:ascii="Cambria Math" w:hAnsi="Cambria Math"/>
                    <w:lang w:val="es-ES"/>
                  </w:rPr>
                  <m:t>=</m:t>
                </m:r>
                <m:f>
                  <m:fPr>
                    <m:ctrlPr>
                      <w:rPr>
                        <w:rFonts w:ascii="Cambria Math" w:hAnsi="Cambria Math"/>
                        <w:lang w:val="es-ES"/>
                      </w:rPr>
                    </m:ctrlPr>
                  </m:fPr>
                  <m:num>
                    <m:sSubSup>
                      <m:sSubSupPr>
                        <m:ctrlPr>
                          <w:rPr>
                            <w:rFonts w:ascii="Cambria Math" w:hAnsi="Cambria Math"/>
                            <w:lang w:val="es-ES"/>
                          </w:rPr>
                        </m:ctrlPr>
                      </m:sSubSupPr>
                      <m:e>
                        <m:acc>
                          <m:accPr>
                            <m:chr m:val="̇"/>
                            <m:ctrlPr>
                              <w:rPr>
                                <w:rFonts w:ascii="Cambria Math" w:hAnsi="Cambria Math"/>
                                <w:lang w:val="es-ES"/>
                              </w:rPr>
                            </m:ctrlPr>
                          </m:accPr>
                          <m:e>
                            <m:r>
                              <m:rPr>
                                <m:sty m:val="p"/>
                              </m:rPr>
                              <w:rPr>
                                <w:rFonts w:ascii="Cambria Math" w:hAnsi="Cambria Math"/>
                                <w:lang w:val="es-ES"/>
                              </w:rPr>
                              <m:t>i</m:t>
                            </m:r>
                          </m:e>
                        </m:acc>
                      </m:e>
                      <m:sub>
                        <m:r>
                          <m:rPr>
                            <m:sty m:val="p"/>
                          </m:rPr>
                          <w:rPr>
                            <w:rFonts w:ascii="Cambria Math" w:hAnsi="Cambria Math"/>
                            <w:lang w:val="es-ES"/>
                          </w:rPr>
                          <m:t>out</m:t>
                        </m:r>
                      </m:sub>
                      <m:sup>
                        <m:r>
                          <m:rPr>
                            <m:sty m:val="p"/>
                          </m:rPr>
                          <w:rPr>
                            <w:rFonts w:ascii="Cambria Math" w:hAnsi="Cambria Math"/>
                            <w:lang w:val="es-ES"/>
                          </w:rPr>
                          <m:t>(cp)</m:t>
                        </m:r>
                      </m:sup>
                    </m:sSubSup>
                    <m:r>
                      <m:rPr>
                        <m:sty m:val="p"/>
                      </m:rPr>
                      <w:rPr>
                        <w:rFonts w:ascii="Cambria Math" w:hAnsi="Cambria Math"/>
                        <w:lang w:val="es-ES"/>
                      </w:rPr>
                      <m:t>+</m:t>
                    </m:r>
                    <m:sSubSup>
                      <m:sSubSupPr>
                        <m:ctrlPr>
                          <w:rPr>
                            <w:rFonts w:ascii="Cambria Math" w:hAnsi="Cambria Math"/>
                            <w:lang w:val="es-ES"/>
                          </w:rPr>
                        </m:ctrlPr>
                      </m:sSubSupPr>
                      <m:e>
                        <m:acc>
                          <m:accPr>
                            <m:chr m:val="̇"/>
                            <m:ctrlPr>
                              <w:rPr>
                                <w:rFonts w:ascii="Cambria Math" w:hAnsi="Cambria Math"/>
                                <w:lang w:val="es-ES"/>
                              </w:rPr>
                            </m:ctrlPr>
                          </m:accPr>
                          <m:e>
                            <m:r>
                              <m:rPr>
                                <m:sty m:val="p"/>
                              </m:rPr>
                              <w:rPr>
                                <w:rFonts w:ascii="Cambria Math" w:hAnsi="Cambria Math"/>
                                <w:lang w:val="es-ES"/>
                              </w:rPr>
                              <m:t>i</m:t>
                            </m:r>
                          </m:e>
                        </m:acc>
                      </m:e>
                      <m:sub>
                        <m:r>
                          <m:rPr>
                            <m:sty m:val="p"/>
                          </m:rPr>
                          <w:rPr>
                            <w:rFonts w:ascii="Cambria Math" w:hAnsi="Cambria Math"/>
                            <w:lang w:val="es-ES"/>
                          </w:rPr>
                          <m:t>out</m:t>
                        </m:r>
                      </m:sub>
                      <m:sup>
                        <m:d>
                          <m:dPr>
                            <m:ctrlPr>
                              <w:rPr>
                                <w:rFonts w:ascii="Cambria Math" w:hAnsi="Cambria Math"/>
                                <w:lang w:val="es-ES"/>
                              </w:rPr>
                            </m:ctrlPr>
                          </m:dPr>
                          <m:e>
                            <m:r>
                              <m:rPr>
                                <m:sty m:val="p"/>
                              </m:rPr>
                              <w:rPr>
                                <w:rFonts w:ascii="Cambria Math" w:hAnsi="Cambria Math"/>
                                <w:lang w:val="es-ES"/>
                              </w:rPr>
                              <m:t>ep</m:t>
                            </m:r>
                          </m:e>
                        </m:d>
                      </m:sup>
                    </m:sSubSup>
                    <m:r>
                      <m:rPr>
                        <m:sty m:val="p"/>
                      </m:rPr>
                      <w:rPr>
                        <w:rFonts w:ascii="Cambria Math" w:hAnsi="Cambria Math"/>
                        <w:lang w:val="es-ES"/>
                      </w:rPr>
                      <m:t>+</m:t>
                    </m:r>
                    <m:sSubSup>
                      <m:sSubSupPr>
                        <m:ctrlPr>
                          <w:rPr>
                            <w:rFonts w:ascii="Cambria Math" w:hAnsi="Cambria Math"/>
                            <w:lang w:val="es-ES"/>
                          </w:rPr>
                        </m:ctrlPr>
                      </m:sSubSupPr>
                      <m:e>
                        <m:acc>
                          <m:accPr>
                            <m:chr m:val="̇"/>
                            <m:ctrlPr>
                              <w:rPr>
                                <w:rFonts w:ascii="Cambria Math" w:hAnsi="Cambria Math"/>
                                <w:lang w:val="es-ES"/>
                              </w:rPr>
                            </m:ctrlPr>
                          </m:accPr>
                          <m:e>
                            <m:r>
                              <m:rPr>
                                <m:sty m:val="p"/>
                              </m:rPr>
                              <w:rPr>
                                <w:rFonts w:ascii="Cambria Math" w:hAnsi="Cambria Math"/>
                                <w:lang w:val="es-ES"/>
                              </w:rPr>
                              <m:t>i</m:t>
                            </m:r>
                          </m:e>
                        </m:acc>
                      </m:e>
                      <m:sub>
                        <m:r>
                          <m:rPr>
                            <m:sty m:val="p"/>
                          </m:rPr>
                          <w:rPr>
                            <w:rFonts w:ascii="Cambria Math" w:hAnsi="Cambria Math"/>
                            <w:lang w:val="es-ES"/>
                          </w:rPr>
                          <m:t>we</m:t>
                        </m:r>
                      </m:sub>
                      <m:sup>
                        <m:d>
                          <m:dPr>
                            <m:ctrlPr>
                              <w:rPr>
                                <w:rFonts w:ascii="Cambria Math" w:hAnsi="Cambria Math"/>
                                <w:lang w:val="es-ES"/>
                              </w:rPr>
                            </m:ctrlPr>
                          </m:dPr>
                          <m:e>
                            <m:r>
                              <m:rPr>
                                <m:sty m:val="p"/>
                              </m:rPr>
                              <w:rPr>
                                <w:rFonts w:ascii="Cambria Math" w:hAnsi="Cambria Math"/>
                                <w:lang w:val="es-ES"/>
                              </w:rPr>
                              <m:t>cp</m:t>
                            </m:r>
                          </m:e>
                        </m:d>
                      </m:sup>
                    </m:sSubSup>
                    <m:r>
                      <m:rPr>
                        <m:sty m:val="p"/>
                      </m:rPr>
                      <w:rPr>
                        <w:rFonts w:ascii="Cambria Math" w:hAnsi="Cambria Math"/>
                        <w:lang w:val="es-ES"/>
                      </w:rPr>
                      <m:t>+</m:t>
                    </m:r>
                    <m:sSubSup>
                      <m:sSubSupPr>
                        <m:ctrlPr>
                          <w:rPr>
                            <w:rFonts w:ascii="Cambria Math" w:hAnsi="Cambria Math"/>
                            <w:lang w:val="es-ES"/>
                          </w:rPr>
                        </m:ctrlPr>
                      </m:sSubSupPr>
                      <m:e>
                        <m:acc>
                          <m:accPr>
                            <m:chr m:val="̇"/>
                            <m:ctrlPr>
                              <w:rPr>
                                <w:rFonts w:ascii="Cambria Math" w:hAnsi="Cambria Math"/>
                                <w:lang w:val="es-ES"/>
                              </w:rPr>
                            </m:ctrlPr>
                          </m:accPr>
                          <m:e>
                            <m:r>
                              <m:rPr>
                                <m:sty m:val="p"/>
                              </m:rPr>
                              <w:rPr>
                                <w:rFonts w:ascii="Cambria Math" w:hAnsi="Cambria Math"/>
                                <w:lang w:val="es-ES"/>
                              </w:rPr>
                              <m:t>i</m:t>
                            </m:r>
                          </m:e>
                        </m:acc>
                      </m:e>
                      <m:sub>
                        <m:r>
                          <m:rPr>
                            <m:sty m:val="p"/>
                          </m:rPr>
                          <w:rPr>
                            <w:rFonts w:ascii="Cambria Math" w:hAnsi="Cambria Math"/>
                            <w:lang w:val="es-ES"/>
                          </w:rPr>
                          <m:t>we</m:t>
                        </m:r>
                      </m:sub>
                      <m:sup>
                        <m:r>
                          <m:rPr>
                            <m:sty m:val="p"/>
                          </m:rPr>
                          <w:rPr>
                            <w:rFonts w:ascii="Cambria Math" w:hAnsi="Cambria Math"/>
                            <w:lang w:val="es-ES"/>
                          </w:rPr>
                          <m:t>(ep)</m:t>
                        </m:r>
                      </m:sup>
                    </m:sSubSup>
                  </m:num>
                  <m:den>
                    <m:nary>
                      <m:naryPr>
                        <m:chr m:val="∑"/>
                        <m:limLoc m:val="subSup"/>
                        <m:supHide m:val="1"/>
                        <m:ctrlPr>
                          <w:rPr>
                            <w:rFonts w:ascii="Cambria Math" w:hAnsi="Cambria Math"/>
                            <w:lang w:val="es-ES"/>
                          </w:rPr>
                        </m:ctrlPr>
                      </m:naryPr>
                      <m:sub>
                        <m:r>
                          <m:rPr>
                            <m:sty m:val="p"/>
                          </m:rPr>
                          <w:rPr>
                            <w:rFonts w:ascii="Cambria Math" w:hAnsi="Cambria Math"/>
                            <w:lang w:val="es-ES"/>
                          </w:rPr>
                          <m:t>p</m:t>
                        </m:r>
                      </m:sub>
                      <m:sup/>
                      <m:e>
                        <m:sSub>
                          <m:sSubPr>
                            <m:ctrlPr>
                              <w:rPr>
                                <w:rFonts w:ascii="Cambria Math" w:hAnsi="Cambria Math"/>
                                <w:lang w:val="es-ES"/>
                              </w:rPr>
                            </m:ctrlPr>
                          </m:sSubPr>
                          <m:e>
                            <m:r>
                              <m:rPr>
                                <m:sty m:val="p"/>
                              </m:rPr>
                              <w:rPr>
                                <w:rFonts w:ascii="Cambria Math" w:hAnsi="Cambria Math"/>
                                <w:lang w:val="es-ES"/>
                              </w:rPr>
                              <m:t>P</m:t>
                            </m:r>
                          </m:e>
                          <m:sub>
                            <m:r>
                              <m:rPr>
                                <m:sty m:val="p"/>
                              </m:rPr>
                              <w:rPr>
                                <w:rFonts w:ascii="Cambria Math" w:hAnsi="Cambria Math"/>
                                <w:lang w:val="es-ES"/>
                              </w:rPr>
                              <m:t>p</m:t>
                            </m:r>
                          </m:sub>
                        </m:sSub>
                      </m:e>
                    </m:nary>
                  </m:den>
                </m:f>
              </m:oMath>
            </m:oMathPara>
          </w:p>
        </w:tc>
        <w:tc>
          <w:tcPr>
            <w:tcW w:w="448" w:type="dxa"/>
          </w:tcPr>
          <w:p w14:paraId="5C78257F" w14:textId="1422A355" w:rsidR="00CC4AD2" w:rsidRPr="00EF4FCF" w:rsidRDefault="00CC4AD2" w:rsidP="00567250">
            <w:pPr>
              <w:pStyle w:val="CETBodytext"/>
            </w:pPr>
            <w:r>
              <w:t>(</w:t>
            </w:r>
            <w:r w:rsidR="00314F76">
              <w:t>2</w:t>
            </w:r>
            <w:r>
              <w:t>)</w:t>
            </w:r>
          </w:p>
        </w:tc>
      </w:tr>
      <w:tr w:rsidR="00CC4AD2" w:rsidRPr="00EF4FCF" w14:paraId="513C80FE" w14:textId="506A200F" w:rsidTr="00224DAA">
        <w:trPr>
          <w:trHeight w:val="500"/>
        </w:trPr>
        <w:tc>
          <w:tcPr>
            <w:tcW w:w="8497" w:type="dxa"/>
          </w:tcPr>
          <w:p w14:paraId="5CE82767" w14:textId="77777777" w:rsidR="00CC4AD2" w:rsidRPr="00EF4FCF" w:rsidRDefault="007E69B7" w:rsidP="00567250">
            <w:pPr>
              <w:pStyle w:val="CETEquation"/>
              <w:rPr>
                <w:rFonts w:ascii="Arno Pro" w:hAnsi="Arno Pro"/>
                <w:lang w:val="es-CO"/>
              </w:rPr>
            </w:pPr>
            <m:oMathPara>
              <m:oMath>
                <m:sSubSup>
                  <m:sSubSupPr>
                    <m:ctrlPr>
                      <w:rPr>
                        <w:rFonts w:ascii="Cambria Math" w:eastAsia="Calibri" w:hAnsi="Cambria Math"/>
                        <w:lang w:val="es-MX"/>
                      </w:rPr>
                    </m:ctrlPr>
                  </m:sSubSupPr>
                  <m:e>
                    <m:acc>
                      <m:accPr>
                        <m:ctrlPr>
                          <w:rPr>
                            <w:rFonts w:ascii="Cambria Math" w:eastAsia="Calibri" w:hAnsi="Cambria Math"/>
                            <w:lang w:val="es-MX"/>
                          </w:rPr>
                        </m:ctrlPr>
                      </m:accPr>
                      <m:e>
                        <m:acc>
                          <m:accPr>
                            <m:chr m:val="̇"/>
                            <m:ctrlPr>
                              <w:rPr>
                                <w:rFonts w:ascii="Cambria Math" w:eastAsia="Calibri" w:hAnsi="Cambria Math"/>
                                <w:lang w:val="es-MX"/>
                              </w:rPr>
                            </m:ctrlPr>
                          </m:accPr>
                          <m:e>
                            <m:r>
                              <m:rPr>
                                <m:sty m:val="p"/>
                              </m:rPr>
                              <w:rPr>
                                <w:rFonts w:ascii="Cambria Math" w:eastAsia="Calibri" w:hAnsi="Cambria Math"/>
                                <w:lang w:val="es-MX"/>
                              </w:rPr>
                              <m:t>i</m:t>
                            </m:r>
                          </m:e>
                        </m:acc>
                      </m:e>
                    </m:acc>
                  </m:e>
                  <m:sub>
                    <m:r>
                      <m:rPr>
                        <m:sty m:val="p"/>
                      </m:rPr>
                      <w:rPr>
                        <w:rFonts w:ascii="Cambria Math" w:eastAsia="Calibri" w:hAnsi="Cambria Math"/>
                        <w:lang w:val="es-MX"/>
                      </w:rPr>
                      <m:t>gen</m:t>
                    </m:r>
                  </m:sub>
                  <m:sup>
                    <m:r>
                      <m:rPr>
                        <m:sty m:val="p"/>
                      </m:rPr>
                      <w:rPr>
                        <w:rFonts w:ascii="Cambria Math" w:eastAsia="Calibri" w:hAnsi="Cambria Math"/>
                        <w:lang w:val="es-MX"/>
                      </w:rPr>
                      <m:t>(t)</m:t>
                    </m:r>
                  </m:sup>
                </m:sSubSup>
                <m:r>
                  <m:rPr>
                    <m:sty m:val="p"/>
                  </m:rPr>
                  <w:rPr>
                    <w:rFonts w:ascii="Cambria Math" w:eastAsia="Calibri" w:hAnsi="Cambria Math"/>
                    <w:lang w:val="es-MX"/>
                  </w:rPr>
                  <m:t>=</m:t>
                </m:r>
                <m:sSubSup>
                  <m:sSubSupPr>
                    <m:ctrlPr>
                      <w:rPr>
                        <w:rFonts w:ascii="Cambria Math" w:eastAsia="Calibri" w:hAnsi="Cambria Math"/>
                        <w:lang w:val="es-MX"/>
                      </w:rPr>
                    </m:ctrlPr>
                  </m:sSubSupPr>
                  <m:e>
                    <m:acc>
                      <m:accPr>
                        <m:chr m:val="̇"/>
                        <m:ctrlPr>
                          <w:rPr>
                            <w:rFonts w:ascii="Cambria Math" w:eastAsia="Calibri" w:hAnsi="Cambria Math"/>
                            <w:lang w:val="es-MX"/>
                          </w:rPr>
                        </m:ctrlPr>
                      </m:accPr>
                      <m:e>
                        <m:r>
                          <m:rPr>
                            <m:sty m:val="p"/>
                          </m:rPr>
                          <w:rPr>
                            <w:rFonts w:ascii="Cambria Math" w:eastAsia="Calibri" w:hAnsi="Cambria Math"/>
                            <w:lang w:val="es-MX"/>
                          </w:rPr>
                          <m:t>i</m:t>
                        </m:r>
                      </m:e>
                    </m:acc>
                  </m:e>
                  <m:sub>
                    <m:r>
                      <m:rPr>
                        <m:sty m:val="p"/>
                      </m:rPr>
                      <w:rPr>
                        <w:rFonts w:ascii="Cambria Math" w:eastAsia="Calibri" w:hAnsi="Cambria Math"/>
                        <w:lang w:val="es-MX"/>
                      </w:rPr>
                      <m:t>out</m:t>
                    </m:r>
                  </m:sub>
                  <m:sup>
                    <m:r>
                      <m:rPr>
                        <m:sty m:val="p"/>
                      </m:rPr>
                      <w:rPr>
                        <w:rFonts w:ascii="Cambria Math" w:eastAsia="Calibri" w:hAnsi="Cambria Math"/>
                        <w:lang w:val="es-MX"/>
                      </w:rPr>
                      <m:t>(cp)</m:t>
                    </m:r>
                  </m:sup>
                </m:sSubSup>
                <m:r>
                  <m:rPr>
                    <m:sty m:val="p"/>
                  </m:rPr>
                  <w:rPr>
                    <w:rFonts w:ascii="Cambria Math" w:eastAsia="Calibri" w:hAnsi="Cambria Math"/>
                    <w:lang w:val="es-MX"/>
                  </w:rPr>
                  <m:t>-</m:t>
                </m:r>
                <m:sSubSup>
                  <m:sSubSupPr>
                    <m:ctrlPr>
                      <w:rPr>
                        <w:rFonts w:ascii="Cambria Math" w:eastAsia="Calibri" w:hAnsi="Cambria Math"/>
                        <w:lang w:val="es-MX"/>
                      </w:rPr>
                    </m:ctrlPr>
                  </m:sSubSupPr>
                  <m:e>
                    <m:acc>
                      <m:accPr>
                        <m:chr m:val="̇"/>
                        <m:ctrlPr>
                          <w:rPr>
                            <w:rFonts w:ascii="Cambria Math" w:eastAsia="Calibri" w:hAnsi="Cambria Math"/>
                            <w:lang w:val="es-MX"/>
                          </w:rPr>
                        </m:ctrlPr>
                      </m:accPr>
                      <m:e>
                        <m:r>
                          <m:rPr>
                            <m:sty m:val="p"/>
                          </m:rPr>
                          <w:rPr>
                            <w:rFonts w:ascii="Cambria Math" w:eastAsia="Calibri" w:hAnsi="Cambria Math"/>
                            <w:lang w:val="es-MX"/>
                          </w:rPr>
                          <m:t>i</m:t>
                        </m:r>
                      </m:e>
                    </m:acc>
                  </m:e>
                  <m:sub>
                    <m:r>
                      <m:rPr>
                        <m:sty m:val="p"/>
                      </m:rPr>
                      <w:rPr>
                        <w:rFonts w:ascii="Cambria Math" w:eastAsia="Calibri" w:hAnsi="Cambria Math"/>
                        <w:lang w:val="es-MX"/>
                      </w:rPr>
                      <m:t>in</m:t>
                    </m:r>
                  </m:sub>
                  <m:sup>
                    <m:d>
                      <m:dPr>
                        <m:ctrlPr>
                          <w:rPr>
                            <w:rFonts w:ascii="Cambria Math" w:eastAsia="Calibri" w:hAnsi="Cambria Math"/>
                            <w:lang w:val="es-MX"/>
                          </w:rPr>
                        </m:ctrlPr>
                      </m:dPr>
                      <m:e>
                        <m:r>
                          <m:rPr>
                            <m:sty m:val="p"/>
                          </m:rPr>
                          <w:rPr>
                            <w:rFonts w:ascii="Cambria Math" w:eastAsia="Calibri" w:hAnsi="Cambria Math"/>
                            <w:lang w:val="es-MX"/>
                          </w:rPr>
                          <m:t>cp</m:t>
                        </m:r>
                      </m:e>
                    </m:d>
                  </m:sup>
                </m:sSubSup>
                <m:r>
                  <m:rPr>
                    <m:sty m:val="p"/>
                  </m:rPr>
                  <w:rPr>
                    <w:rFonts w:ascii="Cambria Math" w:eastAsia="Calibri" w:hAnsi="Cambria Math"/>
                    <w:lang w:val="es-MX"/>
                  </w:rPr>
                  <m:t>+</m:t>
                </m:r>
                <m:sSubSup>
                  <m:sSubSupPr>
                    <m:ctrlPr>
                      <w:rPr>
                        <w:rFonts w:ascii="Cambria Math" w:eastAsia="Calibri" w:hAnsi="Cambria Math"/>
                        <w:lang w:val="es-MX"/>
                      </w:rPr>
                    </m:ctrlPr>
                  </m:sSubSupPr>
                  <m:e>
                    <m:acc>
                      <m:accPr>
                        <m:chr m:val="̇"/>
                        <m:ctrlPr>
                          <w:rPr>
                            <w:rFonts w:ascii="Cambria Math" w:eastAsia="Calibri" w:hAnsi="Cambria Math"/>
                            <w:lang w:val="es-MX"/>
                          </w:rPr>
                        </m:ctrlPr>
                      </m:accPr>
                      <m:e>
                        <m:r>
                          <m:rPr>
                            <m:sty m:val="p"/>
                          </m:rPr>
                          <w:rPr>
                            <w:rFonts w:ascii="Cambria Math" w:eastAsia="Calibri" w:hAnsi="Cambria Math"/>
                            <w:lang w:val="es-MX"/>
                          </w:rPr>
                          <m:t>i</m:t>
                        </m:r>
                      </m:e>
                    </m:acc>
                  </m:e>
                  <m:sub>
                    <m:r>
                      <m:rPr>
                        <m:sty m:val="p"/>
                      </m:rPr>
                      <w:rPr>
                        <w:rFonts w:ascii="Cambria Math" w:eastAsia="Calibri" w:hAnsi="Cambria Math"/>
                        <w:lang w:val="es-MX"/>
                      </w:rPr>
                      <m:t>out</m:t>
                    </m:r>
                  </m:sub>
                  <m:sup>
                    <m:d>
                      <m:dPr>
                        <m:ctrlPr>
                          <w:rPr>
                            <w:rFonts w:ascii="Cambria Math" w:eastAsia="Calibri" w:hAnsi="Cambria Math"/>
                            <w:lang w:val="es-MX"/>
                          </w:rPr>
                        </m:ctrlPr>
                      </m:dPr>
                      <m:e>
                        <m:r>
                          <m:rPr>
                            <m:sty m:val="p"/>
                          </m:rPr>
                          <w:rPr>
                            <w:rFonts w:ascii="Cambria Math" w:eastAsia="Calibri" w:hAnsi="Cambria Math"/>
                            <w:lang w:val="es-MX"/>
                          </w:rPr>
                          <m:t>ep</m:t>
                        </m:r>
                      </m:e>
                    </m:d>
                  </m:sup>
                </m:sSubSup>
                <m:r>
                  <m:rPr>
                    <m:sty m:val="p"/>
                  </m:rPr>
                  <w:rPr>
                    <w:rFonts w:ascii="Cambria Math" w:eastAsia="Calibri" w:hAnsi="Cambria Math"/>
                    <w:lang w:val="es-MX"/>
                  </w:rPr>
                  <m:t>-</m:t>
                </m:r>
                <m:sSubSup>
                  <m:sSubSupPr>
                    <m:ctrlPr>
                      <w:rPr>
                        <w:rFonts w:ascii="Cambria Math" w:eastAsia="Calibri" w:hAnsi="Cambria Math"/>
                        <w:lang w:val="es-MX"/>
                      </w:rPr>
                    </m:ctrlPr>
                  </m:sSubSupPr>
                  <m:e>
                    <m:acc>
                      <m:accPr>
                        <m:chr m:val="̇"/>
                        <m:ctrlPr>
                          <w:rPr>
                            <w:rFonts w:ascii="Cambria Math" w:eastAsia="Calibri" w:hAnsi="Cambria Math"/>
                            <w:lang w:val="es-MX"/>
                          </w:rPr>
                        </m:ctrlPr>
                      </m:accPr>
                      <m:e>
                        <m:r>
                          <m:rPr>
                            <m:sty m:val="p"/>
                          </m:rPr>
                          <w:rPr>
                            <w:rFonts w:ascii="Cambria Math" w:eastAsia="Calibri" w:hAnsi="Cambria Math"/>
                            <w:lang w:val="es-MX"/>
                          </w:rPr>
                          <m:t>i</m:t>
                        </m:r>
                      </m:e>
                    </m:acc>
                  </m:e>
                  <m:sub>
                    <m:r>
                      <m:rPr>
                        <m:sty m:val="p"/>
                      </m:rPr>
                      <w:rPr>
                        <w:rFonts w:ascii="Cambria Math" w:eastAsia="Calibri" w:hAnsi="Cambria Math"/>
                        <w:lang w:val="es-MX"/>
                      </w:rPr>
                      <m:t>in</m:t>
                    </m:r>
                  </m:sub>
                  <m:sup>
                    <m:d>
                      <m:dPr>
                        <m:ctrlPr>
                          <w:rPr>
                            <w:rFonts w:ascii="Cambria Math" w:eastAsia="Calibri" w:hAnsi="Cambria Math"/>
                            <w:lang w:val="es-MX"/>
                          </w:rPr>
                        </m:ctrlPr>
                      </m:dPr>
                      <m:e>
                        <m:r>
                          <m:rPr>
                            <m:sty m:val="p"/>
                          </m:rPr>
                          <w:rPr>
                            <w:rFonts w:ascii="Cambria Math" w:eastAsia="Calibri" w:hAnsi="Cambria Math"/>
                            <w:lang w:val="es-MX"/>
                          </w:rPr>
                          <m:t>ep</m:t>
                        </m:r>
                      </m:e>
                    </m:d>
                  </m:sup>
                </m:sSubSup>
                <m:r>
                  <m:rPr>
                    <m:sty m:val="p"/>
                  </m:rPr>
                  <w:rPr>
                    <w:rFonts w:ascii="Cambria Math" w:eastAsia="Calibri" w:hAnsi="Cambria Math"/>
                    <w:lang w:val="es-MX"/>
                  </w:rPr>
                  <m:t>+</m:t>
                </m:r>
                <m:sSubSup>
                  <m:sSubSupPr>
                    <m:ctrlPr>
                      <w:rPr>
                        <w:rFonts w:ascii="Cambria Math" w:eastAsia="Calibri" w:hAnsi="Cambria Math"/>
                        <w:lang w:val="es-MX"/>
                      </w:rPr>
                    </m:ctrlPr>
                  </m:sSubSupPr>
                  <m:e>
                    <m:acc>
                      <m:accPr>
                        <m:chr m:val="̇"/>
                        <m:ctrlPr>
                          <w:rPr>
                            <w:rFonts w:ascii="Cambria Math" w:eastAsia="Calibri" w:hAnsi="Cambria Math"/>
                            <w:lang w:val="es-MX"/>
                          </w:rPr>
                        </m:ctrlPr>
                      </m:accPr>
                      <m:e>
                        <m:r>
                          <m:rPr>
                            <m:sty m:val="p"/>
                          </m:rPr>
                          <w:rPr>
                            <w:rFonts w:ascii="Cambria Math" w:eastAsia="Calibri" w:hAnsi="Cambria Math"/>
                            <w:lang w:val="es-MX"/>
                          </w:rPr>
                          <m:t>i</m:t>
                        </m:r>
                      </m:e>
                    </m:acc>
                  </m:e>
                  <m:sub>
                    <m:r>
                      <m:rPr>
                        <m:sty m:val="p"/>
                      </m:rPr>
                      <w:rPr>
                        <w:rFonts w:ascii="Cambria Math" w:eastAsia="Calibri" w:hAnsi="Cambria Math"/>
                        <w:lang w:val="es-MX"/>
                      </w:rPr>
                      <m:t>we</m:t>
                    </m:r>
                  </m:sub>
                  <m:sup>
                    <m:d>
                      <m:dPr>
                        <m:ctrlPr>
                          <w:rPr>
                            <w:rFonts w:ascii="Cambria Math" w:eastAsia="Calibri" w:hAnsi="Cambria Math"/>
                            <w:lang w:val="es-MX"/>
                          </w:rPr>
                        </m:ctrlPr>
                      </m:dPr>
                      <m:e>
                        <m:r>
                          <m:rPr>
                            <m:sty m:val="p"/>
                          </m:rPr>
                          <w:rPr>
                            <w:rFonts w:ascii="Cambria Math" w:eastAsia="Calibri" w:hAnsi="Cambria Math"/>
                            <w:lang w:val="es-MX"/>
                          </w:rPr>
                          <m:t>cp</m:t>
                        </m:r>
                      </m:e>
                    </m:d>
                  </m:sup>
                </m:sSubSup>
                <m:r>
                  <m:rPr>
                    <m:sty m:val="p"/>
                  </m:rPr>
                  <w:rPr>
                    <w:rFonts w:ascii="Cambria Math" w:eastAsia="Calibri" w:hAnsi="Cambria Math"/>
                    <w:lang w:val="es-MX"/>
                  </w:rPr>
                  <m:t xml:space="preserve">+ </m:t>
                </m:r>
                <m:sSubSup>
                  <m:sSubSupPr>
                    <m:ctrlPr>
                      <w:rPr>
                        <w:rFonts w:ascii="Cambria Math" w:eastAsia="Calibri" w:hAnsi="Cambria Math"/>
                        <w:lang w:val="es-MX"/>
                      </w:rPr>
                    </m:ctrlPr>
                  </m:sSubSupPr>
                  <m:e>
                    <m:acc>
                      <m:accPr>
                        <m:chr m:val="̇"/>
                        <m:ctrlPr>
                          <w:rPr>
                            <w:rFonts w:ascii="Cambria Math" w:eastAsia="Calibri" w:hAnsi="Cambria Math"/>
                            <w:lang w:val="es-MX"/>
                          </w:rPr>
                        </m:ctrlPr>
                      </m:accPr>
                      <m:e>
                        <m:r>
                          <m:rPr>
                            <m:sty m:val="p"/>
                          </m:rPr>
                          <w:rPr>
                            <w:rFonts w:ascii="Cambria Math" w:eastAsia="Calibri" w:hAnsi="Cambria Math"/>
                            <w:lang w:val="es-MX"/>
                          </w:rPr>
                          <m:t>i</m:t>
                        </m:r>
                      </m:e>
                    </m:acc>
                  </m:e>
                  <m:sub>
                    <m:r>
                      <m:rPr>
                        <m:sty m:val="p"/>
                      </m:rPr>
                      <w:rPr>
                        <w:rFonts w:ascii="Cambria Math" w:eastAsia="Calibri" w:hAnsi="Cambria Math"/>
                        <w:lang w:val="es-MX"/>
                      </w:rPr>
                      <m:t>we</m:t>
                    </m:r>
                  </m:sub>
                  <m:sup>
                    <m:r>
                      <m:rPr>
                        <m:sty m:val="p"/>
                      </m:rPr>
                      <w:rPr>
                        <w:rFonts w:ascii="Cambria Math" w:eastAsia="Calibri" w:hAnsi="Cambria Math"/>
                        <w:lang w:val="es-MX"/>
                      </w:rPr>
                      <m:t>(ep)</m:t>
                    </m:r>
                  </m:sup>
                </m:sSubSup>
              </m:oMath>
            </m:oMathPara>
          </w:p>
        </w:tc>
        <w:tc>
          <w:tcPr>
            <w:tcW w:w="448" w:type="dxa"/>
          </w:tcPr>
          <w:p w14:paraId="125CBD0A" w14:textId="07CACB0F" w:rsidR="00CC4AD2" w:rsidRPr="00EF4FCF" w:rsidRDefault="00CC4AD2" w:rsidP="00567250">
            <w:pPr>
              <w:pStyle w:val="CETBodytext"/>
            </w:pPr>
            <w:r>
              <w:t>(</w:t>
            </w:r>
            <w:r w:rsidR="00314F76">
              <w:t>3</w:t>
            </w:r>
            <w:r>
              <w:t>)</w:t>
            </w:r>
          </w:p>
        </w:tc>
      </w:tr>
      <w:tr w:rsidR="00CC4AD2" w:rsidRPr="00EF4FCF" w14:paraId="0220E01C" w14:textId="15AAE6CD" w:rsidTr="00224DAA">
        <w:trPr>
          <w:trHeight w:val="659"/>
        </w:trPr>
        <w:tc>
          <w:tcPr>
            <w:tcW w:w="8497" w:type="dxa"/>
          </w:tcPr>
          <w:p w14:paraId="192D83AA" w14:textId="77777777" w:rsidR="00CC4AD2" w:rsidRPr="00EF4FCF" w:rsidRDefault="007E69B7" w:rsidP="00567250">
            <w:pPr>
              <w:pStyle w:val="CETEquation"/>
              <w:rPr>
                <w:rFonts w:ascii="Arno Pro" w:hAnsi="Arno Pro"/>
                <w:lang w:val="es-CO"/>
              </w:rPr>
            </w:pPr>
            <m:oMathPara>
              <m:oMath>
                <m:sSubSup>
                  <m:sSubSupPr>
                    <m:ctrlPr>
                      <w:rPr>
                        <w:rFonts w:ascii="Cambria Math" w:eastAsia="Calibri" w:hAnsi="Cambria Math"/>
                        <w:lang w:val="es-MX"/>
                      </w:rPr>
                    </m:ctrlPr>
                  </m:sSubSupPr>
                  <m:e>
                    <m:acc>
                      <m:accPr>
                        <m:ctrlPr>
                          <w:rPr>
                            <w:rFonts w:ascii="Cambria Math" w:eastAsia="Calibri" w:hAnsi="Cambria Math"/>
                            <w:lang w:val="es-MX"/>
                          </w:rPr>
                        </m:ctrlPr>
                      </m:accPr>
                      <m:e>
                        <m:acc>
                          <m:accPr>
                            <m:chr m:val="̇"/>
                            <m:ctrlPr>
                              <w:rPr>
                                <w:rFonts w:ascii="Cambria Math" w:eastAsia="Calibri" w:hAnsi="Cambria Math"/>
                                <w:lang w:val="es-MX"/>
                              </w:rPr>
                            </m:ctrlPr>
                          </m:accPr>
                          <m:e>
                            <m:r>
                              <m:rPr>
                                <m:sty m:val="p"/>
                              </m:rPr>
                              <w:rPr>
                                <w:rFonts w:ascii="Cambria Math" w:eastAsia="Calibri" w:hAnsi="Cambria Math"/>
                                <w:lang w:val="es-MX"/>
                              </w:rPr>
                              <m:t>i</m:t>
                            </m:r>
                          </m:e>
                        </m:acc>
                      </m:e>
                    </m:acc>
                  </m:e>
                  <m:sub>
                    <m:r>
                      <m:rPr>
                        <m:sty m:val="p"/>
                      </m:rPr>
                      <w:rPr>
                        <w:rFonts w:ascii="Cambria Math" w:eastAsia="Calibri" w:hAnsi="Cambria Math"/>
                        <w:lang w:val="es-MX"/>
                      </w:rPr>
                      <m:t>gen</m:t>
                    </m:r>
                  </m:sub>
                  <m:sup>
                    <m:r>
                      <m:rPr>
                        <m:sty m:val="p"/>
                      </m:rPr>
                      <w:rPr>
                        <w:rFonts w:ascii="Cambria Math" w:eastAsia="Calibri" w:hAnsi="Cambria Math"/>
                        <w:lang w:val="es-MX"/>
                      </w:rPr>
                      <m:t>(t)</m:t>
                    </m:r>
                  </m:sup>
                </m:sSubSup>
                <m:r>
                  <m:rPr>
                    <m:sty m:val="p"/>
                  </m:rPr>
                  <w:rPr>
                    <w:rFonts w:ascii="Cambria Math" w:eastAsia="Calibri" w:hAnsi="Cambria Math"/>
                    <w:lang w:val="es-MX"/>
                  </w:rPr>
                  <m:t>=</m:t>
                </m:r>
                <m:f>
                  <m:fPr>
                    <m:ctrlPr>
                      <w:rPr>
                        <w:rFonts w:ascii="Cambria Math" w:eastAsia="Calibri" w:hAnsi="Cambria Math"/>
                        <w:lang w:val="es-MX"/>
                      </w:rPr>
                    </m:ctrlPr>
                  </m:fPr>
                  <m:num>
                    <m:sSubSup>
                      <m:sSubSupPr>
                        <m:ctrlPr>
                          <w:rPr>
                            <w:rFonts w:ascii="Cambria Math" w:eastAsia="Calibri" w:hAnsi="Cambria Math"/>
                            <w:lang w:val="es-MX"/>
                          </w:rPr>
                        </m:ctrlPr>
                      </m:sSubSupPr>
                      <m:e>
                        <m:acc>
                          <m:accPr>
                            <m:chr m:val="̇"/>
                            <m:ctrlPr>
                              <w:rPr>
                                <w:rFonts w:ascii="Cambria Math" w:eastAsia="Calibri" w:hAnsi="Cambria Math"/>
                                <w:lang w:val="es-MX"/>
                              </w:rPr>
                            </m:ctrlPr>
                          </m:accPr>
                          <m:e>
                            <m:r>
                              <m:rPr>
                                <m:sty m:val="p"/>
                              </m:rPr>
                              <w:rPr>
                                <w:rFonts w:ascii="Cambria Math" w:eastAsia="Calibri" w:hAnsi="Cambria Math"/>
                                <w:lang w:val="es-MX"/>
                              </w:rPr>
                              <m:t>i</m:t>
                            </m:r>
                          </m:e>
                        </m:acc>
                      </m:e>
                      <m:sub>
                        <m:r>
                          <m:rPr>
                            <m:sty m:val="p"/>
                          </m:rPr>
                          <w:rPr>
                            <w:rFonts w:ascii="Cambria Math" w:eastAsia="Calibri" w:hAnsi="Cambria Math"/>
                            <w:lang w:val="es-MX"/>
                          </w:rPr>
                          <m:t>out</m:t>
                        </m:r>
                      </m:sub>
                      <m:sup>
                        <m:r>
                          <m:rPr>
                            <m:sty m:val="p"/>
                          </m:rPr>
                          <w:rPr>
                            <w:rFonts w:ascii="Cambria Math" w:eastAsia="Calibri" w:hAnsi="Cambria Math"/>
                            <w:lang w:val="es-MX"/>
                          </w:rPr>
                          <m:t>(cp)</m:t>
                        </m:r>
                      </m:sup>
                    </m:sSubSup>
                    <m:r>
                      <m:rPr>
                        <m:sty m:val="p"/>
                      </m:rPr>
                      <w:rPr>
                        <w:rFonts w:ascii="Cambria Math" w:eastAsia="Calibri" w:hAnsi="Cambria Math"/>
                        <w:lang w:val="es-MX"/>
                      </w:rPr>
                      <m:t>-</m:t>
                    </m:r>
                    <m:sSubSup>
                      <m:sSubSupPr>
                        <m:ctrlPr>
                          <w:rPr>
                            <w:rFonts w:ascii="Cambria Math" w:eastAsia="Calibri" w:hAnsi="Cambria Math"/>
                            <w:lang w:val="es-MX"/>
                          </w:rPr>
                        </m:ctrlPr>
                      </m:sSubSupPr>
                      <m:e>
                        <m:acc>
                          <m:accPr>
                            <m:chr m:val="̇"/>
                            <m:ctrlPr>
                              <w:rPr>
                                <w:rFonts w:ascii="Cambria Math" w:eastAsia="Calibri" w:hAnsi="Cambria Math"/>
                                <w:lang w:val="es-MX"/>
                              </w:rPr>
                            </m:ctrlPr>
                          </m:accPr>
                          <m:e>
                            <m:r>
                              <m:rPr>
                                <m:sty m:val="p"/>
                              </m:rPr>
                              <w:rPr>
                                <w:rFonts w:ascii="Cambria Math" w:eastAsia="Calibri" w:hAnsi="Cambria Math"/>
                                <w:lang w:val="es-MX"/>
                              </w:rPr>
                              <m:t>i</m:t>
                            </m:r>
                          </m:e>
                        </m:acc>
                      </m:e>
                      <m:sub>
                        <m:r>
                          <m:rPr>
                            <m:sty m:val="p"/>
                          </m:rPr>
                          <w:rPr>
                            <w:rFonts w:ascii="Cambria Math" w:eastAsia="Calibri" w:hAnsi="Cambria Math"/>
                            <w:lang w:val="es-MX"/>
                          </w:rPr>
                          <m:t>in</m:t>
                        </m:r>
                      </m:sub>
                      <m:sup>
                        <m:d>
                          <m:dPr>
                            <m:ctrlPr>
                              <w:rPr>
                                <w:rFonts w:ascii="Cambria Math" w:eastAsia="Calibri" w:hAnsi="Cambria Math"/>
                                <w:lang w:val="es-MX"/>
                              </w:rPr>
                            </m:ctrlPr>
                          </m:dPr>
                          <m:e>
                            <m:r>
                              <m:rPr>
                                <m:sty m:val="p"/>
                              </m:rPr>
                              <w:rPr>
                                <w:rFonts w:ascii="Cambria Math" w:eastAsia="Calibri" w:hAnsi="Cambria Math"/>
                                <w:lang w:val="es-MX"/>
                              </w:rPr>
                              <m:t>cp</m:t>
                            </m:r>
                          </m:e>
                        </m:d>
                      </m:sup>
                    </m:sSubSup>
                    <m:r>
                      <m:rPr>
                        <m:sty m:val="p"/>
                      </m:rPr>
                      <w:rPr>
                        <w:rFonts w:ascii="Cambria Math" w:eastAsia="Calibri" w:hAnsi="Cambria Math"/>
                        <w:lang w:val="es-MX"/>
                      </w:rPr>
                      <m:t>+</m:t>
                    </m:r>
                    <m:sSubSup>
                      <m:sSubSupPr>
                        <m:ctrlPr>
                          <w:rPr>
                            <w:rFonts w:ascii="Cambria Math" w:eastAsia="Calibri" w:hAnsi="Cambria Math"/>
                            <w:lang w:val="es-MX"/>
                          </w:rPr>
                        </m:ctrlPr>
                      </m:sSubSupPr>
                      <m:e>
                        <m:acc>
                          <m:accPr>
                            <m:chr m:val="̇"/>
                            <m:ctrlPr>
                              <w:rPr>
                                <w:rFonts w:ascii="Cambria Math" w:eastAsia="Calibri" w:hAnsi="Cambria Math"/>
                                <w:lang w:val="es-MX"/>
                              </w:rPr>
                            </m:ctrlPr>
                          </m:accPr>
                          <m:e>
                            <m:r>
                              <m:rPr>
                                <m:sty m:val="p"/>
                              </m:rPr>
                              <w:rPr>
                                <w:rFonts w:ascii="Cambria Math" w:eastAsia="Calibri" w:hAnsi="Cambria Math"/>
                                <w:lang w:val="es-MX"/>
                              </w:rPr>
                              <m:t>i</m:t>
                            </m:r>
                          </m:e>
                        </m:acc>
                      </m:e>
                      <m:sub>
                        <m:r>
                          <m:rPr>
                            <m:sty m:val="p"/>
                          </m:rPr>
                          <w:rPr>
                            <w:rFonts w:ascii="Cambria Math" w:eastAsia="Calibri" w:hAnsi="Cambria Math"/>
                            <w:lang w:val="es-MX"/>
                          </w:rPr>
                          <m:t>out</m:t>
                        </m:r>
                      </m:sub>
                      <m:sup>
                        <m:d>
                          <m:dPr>
                            <m:ctrlPr>
                              <w:rPr>
                                <w:rFonts w:ascii="Cambria Math" w:eastAsia="Calibri" w:hAnsi="Cambria Math"/>
                                <w:lang w:val="es-MX"/>
                              </w:rPr>
                            </m:ctrlPr>
                          </m:dPr>
                          <m:e>
                            <m:r>
                              <m:rPr>
                                <m:sty m:val="p"/>
                              </m:rPr>
                              <w:rPr>
                                <w:rFonts w:ascii="Cambria Math" w:eastAsia="Calibri" w:hAnsi="Cambria Math"/>
                                <w:lang w:val="es-MX"/>
                              </w:rPr>
                              <m:t>ep</m:t>
                            </m:r>
                          </m:e>
                        </m:d>
                      </m:sup>
                    </m:sSubSup>
                    <m:r>
                      <m:rPr>
                        <m:sty m:val="p"/>
                      </m:rPr>
                      <w:rPr>
                        <w:rFonts w:ascii="Cambria Math" w:eastAsia="Calibri" w:hAnsi="Cambria Math"/>
                        <w:lang w:val="es-MX"/>
                      </w:rPr>
                      <m:t>-</m:t>
                    </m:r>
                    <m:sSubSup>
                      <m:sSubSupPr>
                        <m:ctrlPr>
                          <w:rPr>
                            <w:rFonts w:ascii="Cambria Math" w:eastAsia="Calibri" w:hAnsi="Cambria Math"/>
                            <w:lang w:val="es-MX"/>
                          </w:rPr>
                        </m:ctrlPr>
                      </m:sSubSupPr>
                      <m:e>
                        <m:acc>
                          <m:accPr>
                            <m:chr m:val="̇"/>
                            <m:ctrlPr>
                              <w:rPr>
                                <w:rFonts w:ascii="Cambria Math" w:eastAsia="Calibri" w:hAnsi="Cambria Math"/>
                                <w:lang w:val="es-MX"/>
                              </w:rPr>
                            </m:ctrlPr>
                          </m:accPr>
                          <m:e>
                            <m:r>
                              <m:rPr>
                                <m:sty m:val="p"/>
                              </m:rPr>
                              <w:rPr>
                                <w:rFonts w:ascii="Cambria Math" w:eastAsia="Calibri" w:hAnsi="Cambria Math"/>
                                <w:lang w:val="es-MX"/>
                              </w:rPr>
                              <m:t>i</m:t>
                            </m:r>
                          </m:e>
                        </m:acc>
                      </m:e>
                      <m:sub>
                        <m:r>
                          <m:rPr>
                            <m:sty m:val="p"/>
                          </m:rPr>
                          <w:rPr>
                            <w:rFonts w:ascii="Cambria Math" w:eastAsia="Calibri" w:hAnsi="Cambria Math"/>
                            <w:lang w:val="es-MX"/>
                          </w:rPr>
                          <m:t>in</m:t>
                        </m:r>
                      </m:sub>
                      <m:sup>
                        <m:d>
                          <m:dPr>
                            <m:ctrlPr>
                              <w:rPr>
                                <w:rFonts w:ascii="Cambria Math" w:eastAsia="Calibri" w:hAnsi="Cambria Math"/>
                                <w:lang w:val="es-MX"/>
                              </w:rPr>
                            </m:ctrlPr>
                          </m:dPr>
                          <m:e>
                            <m:r>
                              <m:rPr>
                                <m:sty m:val="p"/>
                              </m:rPr>
                              <w:rPr>
                                <w:rFonts w:ascii="Cambria Math" w:eastAsia="Calibri" w:hAnsi="Cambria Math"/>
                                <w:lang w:val="es-MX"/>
                              </w:rPr>
                              <m:t>ep</m:t>
                            </m:r>
                          </m:e>
                        </m:d>
                      </m:sup>
                    </m:sSubSup>
                    <m:r>
                      <m:rPr>
                        <m:sty m:val="p"/>
                      </m:rPr>
                      <w:rPr>
                        <w:rFonts w:ascii="Cambria Math" w:eastAsia="Calibri" w:hAnsi="Cambria Math"/>
                        <w:lang w:val="es-MX"/>
                      </w:rPr>
                      <m:t>+</m:t>
                    </m:r>
                    <m:sSubSup>
                      <m:sSubSupPr>
                        <m:ctrlPr>
                          <w:rPr>
                            <w:rFonts w:ascii="Cambria Math" w:eastAsia="Calibri" w:hAnsi="Cambria Math"/>
                            <w:lang w:val="es-MX"/>
                          </w:rPr>
                        </m:ctrlPr>
                      </m:sSubSupPr>
                      <m:e>
                        <m:acc>
                          <m:accPr>
                            <m:chr m:val="̇"/>
                            <m:ctrlPr>
                              <w:rPr>
                                <w:rFonts w:ascii="Cambria Math" w:eastAsia="Calibri" w:hAnsi="Cambria Math"/>
                                <w:lang w:val="es-MX"/>
                              </w:rPr>
                            </m:ctrlPr>
                          </m:accPr>
                          <m:e>
                            <m:r>
                              <m:rPr>
                                <m:sty m:val="p"/>
                              </m:rPr>
                              <w:rPr>
                                <w:rFonts w:ascii="Cambria Math" w:eastAsia="Calibri" w:hAnsi="Cambria Math"/>
                                <w:lang w:val="es-MX"/>
                              </w:rPr>
                              <m:t>i</m:t>
                            </m:r>
                          </m:e>
                        </m:acc>
                      </m:e>
                      <m:sub>
                        <m:r>
                          <m:rPr>
                            <m:sty m:val="p"/>
                          </m:rPr>
                          <w:rPr>
                            <w:rFonts w:ascii="Cambria Math" w:eastAsia="Calibri" w:hAnsi="Cambria Math"/>
                            <w:lang w:val="es-MX"/>
                          </w:rPr>
                          <m:t>we</m:t>
                        </m:r>
                      </m:sub>
                      <m:sup>
                        <m:d>
                          <m:dPr>
                            <m:ctrlPr>
                              <w:rPr>
                                <w:rFonts w:ascii="Cambria Math" w:eastAsia="Calibri" w:hAnsi="Cambria Math"/>
                                <w:lang w:val="es-MX"/>
                              </w:rPr>
                            </m:ctrlPr>
                          </m:dPr>
                          <m:e>
                            <m:r>
                              <m:rPr>
                                <m:sty m:val="p"/>
                              </m:rPr>
                              <w:rPr>
                                <w:rFonts w:ascii="Cambria Math" w:eastAsia="Calibri" w:hAnsi="Cambria Math"/>
                                <w:lang w:val="es-MX"/>
                              </w:rPr>
                              <m:t>cp</m:t>
                            </m:r>
                          </m:e>
                        </m:d>
                      </m:sup>
                    </m:sSubSup>
                    <m:r>
                      <m:rPr>
                        <m:sty m:val="p"/>
                      </m:rPr>
                      <w:rPr>
                        <w:rFonts w:ascii="Cambria Math" w:eastAsia="Calibri" w:hAnsi="Cambria Math"/>
                        <w:lang w:val="es-MX"/>
                      </w:rPr>
                      <m:t xml:space="preserve">+ </m:t>
                    </m:r>
                    <m:sSubSup>
                      <m:sSubSupPr>
                        <m:ctrlPr>
                          <w:rPr>
                            <w:rFonts w:ascii="Cambria Math" w:eastAsia="Calibri" w:hAnsi="Cambria Math"/>
                            <w:lang w:val="es-MX"/>
                          </w:rPr>
                        </m:ctrlPr>
                      </m:sSubSupPr>
                      <m:e>
                        <m:acc>
                          <m:accPr>
                            <m:chr m:val="̇"/>
                            <m:ctrlPr>
                              <w:rPr>
                                <w:rFonts w:ascii="Cambria Math" w:eastAsia="Calibri" w:hAnsi="Cambria Math"/>
                                <w:lang w:val="es-MX"/>
                              </w:rPr>
                            </m:ctrlPr>
                          </m:accPr>
                          <m:e>
                            <m:r>
                              <m:rPr>
                                <m:sty m:val="p"/>
                              </m:rPr>
                              <w:rPr>
                                <w:rFonts w:ascii="Cambria Math" w:eastAsia="Calibri" w:hAnsi="Cambria Math"/>
                                <w:lang w:val="es-MX"/>
                              </w:rPr>
                              <m:t>i</m:t>
                            </m:r>
                          </m:e>
                        </m:acc>
                      </m:e>
                      <m:sub>
                        <m:r>
                          <m:rPr>
                            <m:sty m:val="p"/>
                          </m:rPr>
                          <w:rPr>
                            <w:rFonts w:ascii="Cambria Math" w:eastAsia="Calibri" w:hAnsi="Cambria Math"/>
                            <w:lang w:val="es-MX"/>
                          </w:rPr>
                          <m:t>we</m:t>
                        </m:r>
                      </m:sub>
                      <m:sup>
                        <m:r>
                          <m:rPr>
                            <m:sty m:val="p"/>
                          </m:rPr>
                          <w:rPr>
                            <w:rFonts w:ascii="Cambria Math" w:eastAsia="Calibri" w:hAnsi="Cambria Math"/>
                            <w:lang w:val="es-MX"/>
                          </w:rPr>
                          <m:t>(ep)</m:t>
                        </m:r>
                      </m:sup>
                    </m:sSubSup>
                  </m:num>
                  <m:den>
                    <m:nary>
                      <m:naryPr>
                        <m:chr m:val="∑"/>
                        <m:limLoc m:val="subSup"/>
                        <m:supHide m:val="1"/>
                        <m:ctrlPr>
                          <w:rPr>
                            <w:rFonts w:ascii="Cambria Math" w:eastAsia="Calibri" w:hAnsi="Cambria Math"/>
                            <w:lang w:val="es-MX"/>
                          </w:rPr>
                        </m:ctrlPr>
                      </m:naryPr>
                      <m:sub>
                        <m:r>
                          <m:rPr>
                            <m:sty m:val="p"/>
                          </m:rPr>
                          <w:rPr>
                            <w:rFonts w:ascii="Cambria Math" w:eastAsia="Calibri" w:hAnsi="Cambria Math"/>
                            <w:lang w:val="es-MX"/>
                          </w:rPr>
                          <m:t>p</m:t>
                        </m:r>
                      </m:sub>
                      <m:sup/>
                      <m:e>
                        <m:sSub>
                          <m:sSubPr>
                            <m:ctrlPr>
                              <w:rPr>
                                <w:rFonts w:ascii="Cambria Math" w:eastAsia="Calibri" w:hAnsi="Cambria Math"/>
                                <w:lang w:val="es-MX"/>
                              </w:rPr>
                            </m:ctrlPr>
                          </m:sSubPr>
                          <m:e>
                            <m:r>
                              <m:rPr>
                                <m:sty m:val="p"/>
                              </m:rPr>
                              <w:rPr>
                                <w:rFonts w:ascii="Cambria Math" w:eastAsia="Calibri" w:hAnsi="Cambria Math"/>
                                <w:lang w:val="es-MX"/>
                              </w:rPr>
                              <m:t>P</m:t>
                            </m:r>
                          </m:e>
                          <m:sub>
                            <m:r>
                              <m:rPr>
                                <m:sty m:val="p"/>
                              </m:rPr>
                              <w:rPr>
                                <w:rFonts w:ascii="Cambria Math" w:eastAsia="Calibri" w:hAnsi="Cambria Math"/>
                                <w:lang w:val="es-MX"/>
                              </w:rPr>
                              <m:t>p</m:t>
                            </m:r>
                          </m:sub>
                        </m:sSub>
                      </m:e>
                    </m:nary>
                  </m:den>
                </m:f>
              </m:oMath>
            </m:oMathPara>
          </w:p>
        </w:tc>
        <w:tc>
          <w:tcPr>
            <w:tcW w:w="448" w:type="dxa"/>
          </w:tcPr>
          <w:p w14:paraId="586506D6" w14:textId="541B2F97" w:rsidR="00CC4AD2" w:rsidRPr="00EF4FCF" w:rsidRDefault="00CC4AD2" w:rsidP="00567250">
            <w:pPr>
              <w:pStyle w:val="CETBodytext"/>
            </w:pPr>
            <w:r>
              <w:t>(</w:t>
            </w:r>
            <w:r w:rsidR="00314F76">
              <w:t>4</w:t>
            </w:r>
            <w:r>
              <w:t>)</w:t>
            </w:r>
          </w:p>
        </w:tc>
      </w:tr>
    </w:tbl>
    <w:p w14:paraId="7F4976A5" w14:textId="77777777" w:rsidR="004B6FC4" w:rsidRDefault="000239C4" w:rsidP="004B6FC4">
      <w:pPr>
        <w:pStyle w:val="CETHeading1"/>
      </w:pPr>
      <w:r>
        <w:t xml:space="preserve">Results and discussion </w:t>
      </w:r>
    </w:p>
    <w:p w14:paraId="4BA49FD6" w14:textId="77777777" w:rsidR="00224DAA" w:rsidRDefault="004B6FC4" w:rsidP="00224DAA">
      <w:pPr>
        <w:pStyle w:val="CETBodytext"/>
        <w:jc w:val="center"/>
      </w:pPr>
      <w:r w:rsidRPr="00877573">
        <w:rPr>
          <w:rFonts w:ascii="Times New Roman" w:hAnsi="Times New Roman"/>
          <w:noProof/>
          <w:szCs w:val="24"/>
          <w:lang w:val="es-ES" w:eastAsia="es-ES"/>
        </w:rPr>
        <w:drawing>
          <wp:inline distT="0" distB="0" distL="0" distR="0" wp14:anchorId="6EF6CF46" wp14:editId="52FCD3DB">
            <wp:extent cx="5269146" cy="2445489"/>
            <wp:effectExtent l="0" t="0" r="8255" b="0"/>
            <wp:docPr id="4" name="Imagen 4" descr="C:\Users\usuario\Desktop\DOC ESCRITORIO  YURA\DOCUMENTOS TESIS 2019\Simulación in situ 15-07-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uario\Desktop\DOC ESCRITORIO  YURA\DOCUMENTOS TESIS 2019\Simulación in situ 15-07-19.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3485" cy="2475350"/>
                    </a:xfrm>
                    <a:prstGeom prst="rect">
                      <a:avLst/>
                    </a:prstGeom>
                    <a:noFill/>
                    <a:ln>
                      <a:noFill/>
                    </a:ln>
                  </pic:spPr>
                </pic:pic>
              </a:graphicData>
            </a:graphic>
          </wp:inline>
        </w:drawing>
      </w:r>
    </w:p>
    <w:p w14:paraId="5B5B2102" w14:textId="03E0E347" w:rsidR="004B6FC4" w:rsidRDefault="004B6FC4" w:rsidP="0053495F">
      <w:pPr>
        <w:pStyle w:val="CETCaption"/>
      </w:pPr>
      <w:r>
        <w:t xml:space="preserve">Figure  </w:t>
      </w:r>
      <w:r>
        <w:fldChar w:fldCharType="begin"/>
      </w:r>
      <w:r>
        <w:instrText xml:space="preserve"> SEQ Figure_ \* ARABIC </w:instrText>
      </w:r>
      <w:r>
        <w:fldChar w:fldCharType="separate"/>
      </w:r>
      <w:r w:rsidR="00EA1B8A">
        <w:rPr>
          <w:noProof/>
        </w:rPr>
        <w:t>2</w:t>
      </w:r>
      <w:r>
        <w:fldChar w:fldCharType="end"/>
      </w:r>
      <w:r>
        <w:t xml:space="preserve">. </w:t>
      </w:r>
      <w:r w:rsidRPr="00CE6D1A">
        <w:t>Simulation of microalgae-based biodiesel production via in-situ transesterification</w:t>
      </w:r>
    </w:p>
    <w:p w14:paraId="58AAE9FD" w14:textId="77777777" w:rsidR="0053495F" w:rsidRDefault="0053495F" w:rsidP="0053495F">
      <w:pPr>
        <w:pStyle w:val="CETBodytext"/>
      </w:pPr>
      <w:r w:rsidRPr="00FE14BF">
        <w:t>Figure 2</w:t>
      </w:r>
      <w:r>
        <w:t xml:space="preserve"> </w:t>
      </w:r>
      <w:r w:rsidRPr="004B6FC4">
        <w:t xml:space="preserve">shows the simulation performed for the microalgae-based biodiesel production by the in-situ transesterification method. The microalgae stream and a nutrient stream are fed to the culture stage (TK-01).  </w:t>
      </w:r>
      <w:r w:rsidRPr="004B6FC4">
        <w:lastRenderedPageBreak/>
        <w:t xml:space="preserve">Next, the mainstream </w:t>
      </w:r>
      <w:proofErr w:type="gramStart"/>
      <w:r w:rsidRPr="004B6FC4">
        <w:t>is sent</w:t>
      </w:r>
      <w:proofErr w:type="gramEnd"/>
      <w:r w:rsidRPr="004B6FC4">
        <w:t xml:space="preserve"> to the centrifuge D-01 where the microalgae are harvested and a large amount of water is removed. To obtain a moisture content of 5%, the microalgae are subjected to a drying process with dry air entering at a temperature of 50°C. The dried microalgae stream (stream 6) is sent to the reactor R-01 where lipid extraction and transesterification occurs by the addition of methanol (stream 7) and catalyst (stream 8). From this stage, the microalgae cake (stream 13) is discarded while the biodiesel-rich stream (stream 14) is sent to the reactor R-03 where </w:t>
      </w:r>
      <w:proofErr w:type="spellStart"/>
      <w:r w:rsidRPr="004B6FC4">
        <w:t>CaO</w:t>
      </w:r>
      <w:proofErr w:type="spellEnd"/>
      <w:r w:rsidRPr="004B6FC4">
        <w:t xml:space="preserve"> is added to neutralize the catalyst; from this stage, calcium sulfate (stream CASO</w:t>
      </w:r>
      <w:r w:rsidRPr="004B6FC4">
        <w:rPr>
          <w:vertAlign w:val="subscript"/>
        </w:rPr>
        <w:t>4</w:t>
      </w:r>
      <w:r w:rsidRPr="004B6FC4">
        <w:t>) is obtained as a residue.</w:t>
      </w:r>
      <w:r>
        <w:t xml:space="preserve"> </w:t>
      </w:r>
      <w:r w:rsidRPr="004B6FC4">
        <w:t xml:space="preserve">The neutralized stream (stream 16) is sent to the distillation tower T-01 to separate the methanol and recirculate it to the transesterification stage (stream 18). The stream containing the biodiesel and glycerol (stream 20) enters the washing unit T-02 along with a hot water stream. In this stage the biodiesel is separated, the glycerol is carried away by the water (stream 24) and sent to the distillation tower T-03 where pure glycerol is obtained at a rate of 127.25 kg/h. The biodiesel stream with small traces of water (co-stream 25) goes to the flash separator D-02 where it is obtained as a pure product in stream 28 at a rate of 208 kg/h. Information on the operating conditions and mass flow rates of the main process streams are summarized in </w:t>
      </w:r>
      <w:r w:rsidRPr="00FE14BF">
        <w:t xml:space="preserve">Table </w:t>
      </w:r>
      <w:r>
        <w:t>2</w:t>
      </w:r>
      <w:r w:rsidRPr="00FE14BF">
        <w:t>.</w:t>
      </w:r>
    </w:p>
    <w:p w14:paraId="7EFEA354" w14:textId="7BC18E0E" w:rsidR="000E33DE" w:rsidRPr="0053495F" w:rsidRDefault="000E33DE" w:rsidP="0053495F">
      <w:pPr>
        <w:pStyle w:val="CETTabletitle"/>
      </w:pPr>
      <w:r w:rsidRPr="0053495F">
        <w:t xml:space="preserve">Table </w:t>
      </w:r>
      <w:r w:rsidR="00FE749B" w:rsidRPr="0053495F">
        <w:t>2</w:t>
      </w:r>
      <w:r w:rsidRPr="0053495F">
        <w:t>. Operating conditions of the main streams of microalgae-based biodiesel production via in-situ transesterification</w:t>
      </w:r>
    </w:p>
    <w:tbl>
      <w:tblPr>
        <w:tblW w:w="8769"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565"/>
        <w:gridCol w:w="936"/>
        <w:gridCol w:w="775"/>
        <w:gridCol w:w="741"/>
        <w:gridCol w:w="591"/>
        <w:gridCol w:w="741"/>
        <w:gridCol w:w="741"/>
        <w:gridCol w:w="713"/>
        <w:gridCol w:w="1046"/>
        <w:gridCol w:w="920"/>
      </w:tblGrid>
      <w:tr w:rsidR="004B6FC4" w:rsidRPr="0091544F" w14:paraId="41E80367" w14:textId="77777777" w:rsidTr="000E33DE">
        <w:trPr>
          <w:trHeight w:val="290"/>
          <w:jc w:val="center"/>
        </w:trPr>
        <w:tc>
          <w:tcPr>
            <w:tcW w:w="1565" w:type="dxa"/>
            <w:tcBorders>
              <w:top w:val="single" w:sz="4" w:space="0" w:color="auto"/>
              <w:bottom w:val="single" w:sz="4" w:space="0" w:color="auto"/>
            </w:tcBorders>
            <w:shd w:val="clear" w:color="auto" w:fill="auto"/>
            <w:noWrap/>
            <w:vAlign w:val="center"/>
            <w:hideMark/>
          </w:tcPr>
          <w:p w14:paraId="4783C4A4" w14:textId="77777777" w:rsidR="004B6FC4" w:rsidRPr="000E33DE" w:rsidRDefault="004B6FC4" w:rsidP="000E33DE">
            <w:pPr>
              <w:pStyle w:val="CETBodytext"/>
              <w:rPr>
                <w:b/>
                <w:bCs/>
                <w:lang w:eastAsia="es-CO"/>
              </w:rPr>
            </w:pPr>
            <w:r w:rsidRPr="000E33DE">
              <w:rPr>
                <w:b/>
                <w:bCs/>
                <w:lang w:eastAsia="es-CO"/>
              </w:rPr>
              <w:t>Stream</w:t>
            </w:r>
          </w:p>
        </w:tc>
        <w:tc>
          <w:tcPr>
            <w:tcW w:w="936" w:type="dxa"/>
            <w:tcBorders>
              <w:top w:val="single" w:sz="4" w:space="0" w:color="auto"/>
              <w:bottom w:val="single" w:sz="4" w:space="0" w:color="auto"/>
            </w:tcBorders>
            <w:shd w:val="clear" w:color="auto" w:fill="auto"/>
            <w:noWrap/>
            <w:vAlign w:val="center"/>
            <w:hideMark/>
          </w:tcPr>
          <w:p w14:paraId="251BAAA3" w14:textId="77777777" w:rsidR="004B6FC4" w:rsidRPr="000E33DE" w:rsidRDefault="004B6FC4" w:rsidP="000E33DE">
            <w:pPr>
              <w:pStyle w:val="CETBodytext"/>
              <w:rPr>
                <w:b/>
                <w:bCs/>
                <w:lang w:eastAsia="es-CO"/>
              </w:rPr>
            </w:pPr>
            <w:proofErr w:type="spellStart"/>
            <w:r w:rsidRPr="000E33DE">
              <w:rPr>
                <w:b/>
                <w:bCs/>
                <w:lang w:eastAsia="es-CO"/>
              </w:rPr>
              <w:t>Microalg</w:t>
            </w:r>
            <w:proofErr w:type="spellEnd"/>
          </w:p>
        </w:tc>
        <w:tc>
          <w:tcPr>
            <w:tcW w:w="775" w:type="dxa"/>
            <w:tcBorders>
              <w:top w:val="single" w:sz="4" w:space="0" w:color="auto"/>
              <w:bottom w:val="single" w:sz="4" w:space="0" w:color="auto"/>
            </w:tcBorders>
            <w:shd w:val="clear" w:color="auto" w:fill="auto"/>
            <w:noWrap/>
            <w:vAlign w:val="center"/>
            <w:hideMark/>
          </w:tcPr>
          <w:p w14:paraId="316DE7A3" w14:textId="510BD4CC" w:rsidR="004B6FC4" w:rsidRPr="000E33DE" w:rsidRDefault="004B6FC4" w:rsidP="000E33DE">
            <w:pPr>
              <w:pStyle w:val="CETBodytext"/>
              <w:rPr>
                <w:b/>
                <w:bCs/>
                <w:lang w:eastAsia="es-CO"/>
              </w:rPr>
            </w:pPr>
            <w:proofErr w:type="spellStart"/>
            <w:r w:rsidRPr="000E33DE">
              <w:rPr>
                <w:b/>
                <w:bCs/>
                <w:lang w:eastAsia="es-CO"/>
              </w:rPr>
              <w:t>Nutrie</w:t>
            </w:r>
            <w:proofErr w:type="spellEnd"/>
          </w:p>
        </w:tc>
        <w:tc>
          <w:tcPr>
            <w:tcW w:w="741" w:type="dxa"/>
            <w:tcBorders>
              <w:top w:val="single" w:sz="4" w:space="0" w:color="auto"/>
              <w:bottom w:val="single" w:sz="4" w:space="0" w:color="auto"/>
            </w:tcBorders>
            <w:shd w:val="clear" w:color="auto" w:fill="auto"/>
            <w:noWrap/>
            <w:vAlign w:val="center"/>
            <w:hideMark/>
          </w:tcPr>
          <w:p w14:paraId="605C296F" w14:textId="77777777" w:rsidR="004B6FC4" w:rsidRPr="000E33DE" w:rsidRDefault="004B6FC4" w:rsidP="000E33DE">
            <w:pPr>
              <w:pStyle w:val="CETBodytext"/>
              <w:rPr>
                <w:b/>
                <w:bCs/>
                <w:lang w:eastAsia="es-CO"/>
              </w:rPr>
            </w:pPr>
            <w:r w:rsidRPr="000E33DE">
              <w:rPr>
                <w:b/>
                <w:bCs/>
                <w:lang w:eastAsia="es-CO"/>
              </w:rPr>
              <w:t>3</w:t>
            </w:r>
          </w:p>
        </w:tc>
        <w:tc>
          <w:tcPr>
            <w:tcW w:w="591" w:type="dxa"/>
            <w:tcBorders>
              <w:top w:val="single" w:sz="4" w:space="0" w:color="auto"/>
              <w:bottom w:val="single" w:sz="4" w:space="0" w:color="auto"/>
            </w:tcBorders>
            <w:shd w:val="clear" w:color="auto" w:fill="auto"/>
            <w:noWrap/>
            <w:vAlign w:val="center"/>
            <w:hideMark/>
          </w:tcPr>
          <w:p w14:paraId="4AAE83A1" w14:textId="77777777" w:rsidR="004B6FC4" w:rsidRPr="000E33DE" w:rsidRDefault="004B6FC4" w:rsidP="000E33DE">
            <w:pPr>
              <w:pStyle w:val="CETBodytext"/>
              <w:rPr>
                <w:b/>
                <w:bCs/>
                <w:lang w:eastAsia="es-CO"/>
              </w:rPr>
            </w:pPr>
            <w:r w:rsidRPr="000E33DE">
              <w:rPr>
                <w:b/>
                <w:bCs/>
                <w:lang w:eastAsia="es-CO"/>
              </w:rPr>
              <w:t>6</w:t>
            </w:r>
          </w:p>
        </w:tc>
        <w:tc>
          <w:tcPr>
            <w:tcW w:w="741" w:type="dxa"/>
            <w:tcBorders>
              <w:top w:val="single" w:sz="4" w:space="0" w:color="auto"/>
              <w:bottom w:val="single" w:sz="4" w:space="0" w:color="auto"/>
            </w:tcBorders>
            <w:shd w:val="clear" w:color="auto" w:fill="auto"/>
            <w:noWrap/>
            <w:vAlign w:val="center"/>
            <w:hideMark/>
          </w:tcPr>
          <w:p w14:paraId="23FC9E71" w14:textId="77777777" w:rsidR="004B6FC4" w:rsidRPr="000E33DE" w:rsidRDefault="004B6FC4" w:rsidP="000E33DE">
            <w:pPr>
              <w:pStyle w:val="CETBodytext"/>
              <w:rPr>
                <w:b/>
                <w:bCs/>
                <w:lang w:eastAsia="es-CO"/>
              </w:rPr>
            </w:pPr>
            <w:r w:rsidRPr="000E33DE">
              <w:rPr>
                <w:b/>
                <w:bCs/>
                <w:lang w:eastAsia="es-CO"/>
              </w:rPr>
              <w:t>14</w:t>
            </w:r>
          </w:p>
        </w:tc>
        <w:tc>
          <w:tcPr>
            <w:tcW w:w="741" w:type="dxa"/>
            <w:tcBorders>
              <w:top w:val="single" w:sz="4" w:space="0" w:color="auto"/>
              <w:bottom w:val="single" w:sz="4" w:space="0" w:color="auto"/>
            </w:tcBorders>
            <w:shd w:val="clear" w:color="auto" w:fill="auto"/>
            <w:noWrap/>
            <w:vAlign w:val="center"/>
            <w:hideMark/>
          </w:tcPr>
          <w:p w14:paraId="2D571E8F" w14:textId="77777777" w:rsidR="004B6FC4" w:rsidRPr="000E33DE" w:rsidRDefault="004B6FC4" w:rsidP="000E33DE">
            <w:pPr>
              <w:pStyle w:val="CETBodytext"/>
              <w:rPr>
                <w:b/>
                <w:bCs/>
                <w:lang w:eastAsia="es-CO"/>
              </w:rPr>
            </w:pPr>
            <w:r w:rsidRPr="000E33DE">
              <w:rPr>
                <w:b/>
                <w:bCs/>
                <w:lang w:eastAsia="es-CO"/>
              </w:rPr>
              <w:t>16</w:t>
            </w:r>
          </w:p>
        </w:tc>
        <w:tc>
          <w:tcPr>
            <w:tcW w:w="713" w:type="dxa"/>
            <w:tcBorders>
              <w:top w:val="single" w:sz="4" w:space="0" w:color="auto"/>
              <w:bottom w:val="single" w:sz="4" w:space="0" w:color="auto"/>
            </w:tcBorders>
            <w:shd w:val="clear" w:color="auto" w:fill="auto"/>
            <w:noWrap/>
            <w:vAlign w:val="center"/>
            <w:hideMark/>
          </w:tcPr>
          <w:p w14:paraId="023C0EB2" w14:textId="77777777" w:rsidR="004B6FC4" w:rsidRPr="000E33DE" w:rsidRDefault="004B6FC4" w:rsidP="000E33DE">
            <w:pPr>
              <w:pStyle w:val="CETBodytext"/>
              <w:rPr>
                <w:b/>
                <w:bCs/>
                <w:lang w:eastAsia="es-CO"/>
              </w:rPr>
            </w:pPr>
            <w:r w:rsidRPr="000E33DE">
              <w:rPr>
                <w:b/>
                <w:bCs/>
                <w:lang w:eastAsia="es-CO"/>
              </w:rPr>
              <w:t>19</w:t>
            </w:r>
          </w:p>
        </w:tc>
        <w:tc>
          <w:tcPr>
            <w:tcW w:w="1046" w:type="dxa"/>
            <w:tcBorders>
              <w:top w:val="single" w:sz="4" w:space="0" w:color="auto"/>
              <w:bottom w:val="single" w:sz="4" w:space="0" w:color="auto"/>
            </w:tcBorders>
            <w:shd w:val="clear" w:color="auto" w:fill="auto"/>
            <w:noWrap/>
            <w:vAlign w:val="center"/>
            <w:hideMark/>
          </w:tcPr>
          <w:p w14:paraId="550C85B9" w14:textId="77777777" w:rsidR="004B6FC4" w:rsidRPr="000E33DE" w:rsidRDefault="004B6FC4" w:rsidP="000E33DE">
            <w:pPr>
              <w:pStyle w:val="CETBodytext"/>
              <w:rPr>
                <w:b/>
                <w:bCs/>
                <w:lang w:eastAsia="es-CO"/>
              </w:rPr>
            </w:pPr>
            <w:r w:rsidRPr="000E33DE">
              <w:rPr>
                <w:b/>
                <w:bCs/>
                <w:lang w:eastAsia="es-CO"/>
              </w:rPr>
              <w:t>Biodiesel</w:t>
            </w:r>
          </w:p>
        </w:tc>
        <w:tc>
          <w:tcPr>
            <w:tcW w:w="920" w:type="dxa"/>
            <w:tcBorders>
              <w:top w:val="single" w:sz="4" w:space="0" w:color="auto"/>
              <w:bottom w:val="single" w:sz="4" w:space="0" w:color="auto"/>
            </w:tcBorders>
            <w:shd w:val="clear" w:color="auto" w:fill="auto"/>
            <w:noWrap/>
            <w:vAlign w:val="center"/>
            <w:hideMark/>
          </w:tcPr>
          <w:p w14:paraId="5C72F9DA" w14:textId="77777777" w:rsidR="004B6FC4" w:rsidRPr="000E33DE" w:rsidRDefault="004B6FC4" w:rsidP="000E33DE">
            <w:pPr>
              <w:pStyle w:val="CETBodytext"/>
              <w:rPr>
                <w:b/>
                <w:bCs/>
                <w:lang w:eastAsia="es-CO"/>
              </w:rPr>
            </w:pPr>
            <w:r w:rsidRPr="000E33DE">
              <w:rPr>
                <w:b/>
                <w:bCs/>
                <w:lang w:eastAsia="es-CO"/>
              </w:rPr>
              <w:t xml:space="preserve">Glycerol </w:t>
            </w:r>
          </w:p>
        </w:tc>
      </w:tr>
      <w:tr w:rsidR="004B6FC4" w:rsidRPr="0091544F" w14:paraId="2D455237" w14:textId="77777777" w:rsidTr="000E33DE">
        <w:trPr>
          <w:trHeight w:val="290"/>
          <w:jc w:val="center"/>
        </w:trPr>
        <w:tc>
          <w:tcPr>
            <w:tcW w:w="1565" w:type="dxa"/>
            <w:tcBorders>
              <w:top w:val="single" w:sz="4" w:space="0" w:color="auto"/>
            </w:tcBorders>
            <w:shd w:val="clear" w:color="auto" w:fill="auto"/>
            <w:noWrap/>
            <w:vAlign w:val="center"/>
            <w:hideMark/>
          </w:tcPr>
          <w:p w14:paraId="7CD74CC6" w14:textId="77777777" w:rsidR="004B6FC4" w:rsidRPr="0091544F" w:rsidRDefault="004B6FC4" w:rsidP="000E33DE">
            <w:pPr>
              <w:pStyle w:val="CETBodytext"/>
              <w:rPr>
                <w:lang w:eastAsia="es-CO"/>
              </w:rPr>
            </w:pPr>
            <w:r w:rsidRPr="0091544F">
              <w:rPr>
                <w:lang w:eastAsia="es-CO"/>
              </w:rPr>
              <w:t>T (°C)</w:t>
            </w:r>
          </w:p>
        </w:tc>
        <w:tc>
          <w:tcPr>
            <w:tcW w:w="936" w:type="dxa"/>
            <w:tcBorders>
              <w:top w:val="single" w:sz="4" w:space="0" w:color="auto"/>
            </w:tcBorders>
            <w:shd w:val="clear" w:color="auto" w:fill="auto"/>
            <w:noWrap/>
            <w:vAlign w:val="center"/>
            <w:hideMark/>
          </w:tcPr>
          <w:p w14:paraId="6AA93745" w14:textId="77777777" w:rsidR="004B6FC4" w:rsidRPr="0091544F" w:rsidRDefault="004B6FC4" w:rsidP="000E33DE">
            <w:pPr>
              <w:pStyle w:val="CETBodytext"/>
              <w:rPr>
                <w:lang w:eastAsia="es-CO"/>
              </w:rPr>
            </w:pPr>
            <w:r w:rsidRPr="0091544F">
              <w:rPr>
                <w:lang w:eastAsia="es-CO"/>
              </w:rPr>
              <w:t>25.00</w:t>
            </w:r>
          </w:p>
        </w:tc>
        <w:tc>
          <w:tcPr>
            <w:tcW w:w="775" w:type="dxa"/>
            <w:tcBorders>
              <w:top w:val="single" w:sz="4" w:space="0" w:color="auto"/>
            </w:tcBorders>
            <w:shd w:val="clear" w:color="auto" w:fill="auto"/>
            <w:noWrap/>
            <w:vAlign w:val="center"/>
            <w:hideMark/>
          </w:tcPr>
          <w:p w14:paraId="78BA4F45" w14:textId="77777777" w:rsidR="004B6FC4" w:rsidRPr="0091544F" w:rsidRDefault="004B6FC4" w:rsidP="000E33DE">
            <w:pPr>
              <w:pStyle w:val="CETBodytext"/>
              <w:rPr>
                <w:lang w:eastAsia="es-CO"/>
              </w:rPr>
            </w:pPr>
            <w:r w:rsidRPr="0091544F">
              <w:rPr>
                <w:lang w:eastAsia="es-CO"/>
              </w:rPr>
              <w:t>25</w:t>
            </w:r>
            <w:r>
              <w:rPr>
                <w:lang w:eastAsia="es-CO"/>
              </w:rPr>
              <w:t>.</w:t>
            </w:r>
            <w:r w:rsidRPr="0091544F">
              <w:rPr>
                <w:lang w:eastAsia="es-CO"/>
              </w:rPr>
              <w:t>00</w:t>
            </w:r>
          </w:p>
        </w:tc>
        <w:tc>
          <w:tcPr>
            <w:tcW w:w="741" w:type="dxa"/>
            <w:tcBorders>
              <w:top w:val="single" w:sz="4" w:space="0" w:color="auto"/>
            </w:tcBorders>
            <w:shd w:val="clear" w:color="auto" w:fill="auto"/>
            <w:noWrap/>
            <w:vAlign w:val="center"/>
            <w:hideMark/>
          </w:tcPr>
          <w:p w14:paraId="1E7FF7EA" w14:textId="77777777" w:rsidR="004B6FC4" w:rsidRPr="0091544F" w:rsidRDefault="004B6FC4" w:rsidP="000E33DE">
            <w:pPr>
              <w:pStyle w:val="CETBodytext"/>
              <w:rPr>
                <w:lang w:eastAsia="es-CO"/>
              </w:rPr>
            </w:pPr>
            <w:r w:rsidRPr="0091544F">
              <w:rPr>
                <w:lang w:eastAsia="es-CO"/>
              </w:rPr>
              <w:t>25</w:t>
            </w:r>
            <w:r>
              <w:rPr>
                <w:lang w:eastAsia="es-CO"/>
              </w:rPr>
              <w:t>.</w:t>
            </w:r>
            <w:r w:rsidRPr="0091544F">
              <w:rPr>
                <w:lang w:eastAsia="es-CO"/>
              </w:rPr>
              <w:t>00</w:t>
            </w:r>
          </w:p>
        </w:tc>
        <w:tc>
          <w:tcPr>
            <w:tcW w:w="591" w:type="dxa"/>
            <w:tcBorders>
              <w:top w:val="single" w:sz="4" w:space="0" w:color="auto"/>
            </w:tcBorders>
            <w:shd w:val="clear" w:color="auto" w:fill="auto"/>
            <w:noWrap/>
            <w:vAlign w:val="center"/>
            <w:hideMark/>
          </w:tcPr>
          <w:p w14:paraId="2E568A93" w14:textId="77777777" w:rsidR="004B6FC4" w:rsidRPr="0091544F" w:rsidRDefault="004B6FC4" w:rsidP="000E33DE">
            <w:pPr>
              <w:pStyle w:val="CETBodytext"/>
              <w:rPr>
                <w:lang w:eastAsia="es-CO"/>
              </w:rPr>
            </w:pPr>
            <w:r w:rsidRPr="0091544F">
              <w:rPr>
                <w:lang w:eastAsia="es-CO"/>
              </w:rPr>
              <w:t>25</w:t>
            </w:r>
            <w:r>
              <w:rPr>
                <w:lang w:eastAsia="es-CO"/>
              </w:rPr>
              <w:t>.</w:t>
            </w:r>
            <w:r w:rsidRPr="0091544F">
              <w:rPr>
                <w:lang w:eastAsia="es-CO"/>
              </w:rPr>
              <w:t>60</w:t>
            </w:r>
          </w:p>
        </w:tc>
        <w:tc>
          <w:tcPr>
            <w:tcW w:w="741" w:type="dxa"/>
            <w:tcBorders>
              <w:top w:val="single" w:sz="4" w:space="0" w:color="auto"/>
            </w:tcBorders>
            <w:shd w:val="clear" w:color="auto" w:fill="auto"/>
            <w:noWrap/>
            <w:vAlign w:val="center"/>
          </w:tcPr>
          <w:p w14:paraId="490EF694" w14:textId="77777777" w:rsidR="004B6FC4" w:rsidRPr="0091544F" w:rsidRDefault="004B6FC4" w:rsidP="000E33DE">
            <w:pPr>
              <w:pStyle w:val="CETBodytext"/>
              <w:rPr>
                <w:lang w:eastAsia="es-CO"/>
              </w:rPr>
            </w:pPr>
            <w:r>
              <w:rPr>
                <w:lang w:eastAsia="es-CO"/>
              </w:rPr>
              <w:t>60.00</w:t>
            </w:r>
          </w:p>
        </w:tc>
        <w:tc>
          <w:tcPr>
            <w:tcW w:w="741" w:type="dxa"/>
            <w:tcBorders>
              <w:top w:val="single" w:sz="4" w:space="0" w:color="auto"/>
            </w:tcBorders>
            <w:shd w:val="clear" w:color="auto" w:fill="auto"/>
            <w:noWrap/>
            <w:vAlign w:val="center"/>
            <w:hideMark/>
          </w:tcPr>
          <w:p w14:paraId="5E16690D" w14:textId="77777777" w:rsidR="004B6FC4" w:rsidRPr="0091544F" w:rsidRDefault="004B6FC4" w:rsidP="000E33DE">
            <w:pPr>
              <w:pStyle w:val="CETBodytext"/>
              <w:rPr>
                <w:lang w:eastAsia="es-CO"/>
              </w:rPr>
            </w:pPr>
            <w:r>
              <w:rPr>
                <w:lang w:eastAsia="es-CO"/>
              </w:rPr>
              <w:t>70.00</w:t>
            </w:r>
          </w:p>
        </w:tc>
        <w:tc>
          <w:tcPr>
            <w:tcW w:w="713" w:type="dxa"/>
            <w:tcBorders>
              <w:top w:val="single" w:sz="4" w:space="0" w:color="auto"/>
            </w:tcBorders>
            <w:shd w:val="clear" w:color="auto" w:fill="auto"/>
            <w:noWrap/>
            <w:vAlign w:val="center"/>
            <w:hideMark/>
          </w:tcPr>
          <w:p w14:paraId="1CC8F709" w14:textId="77777777" w:rsidR="004B6FC4" w:rsidRPr="0091544F" w:rsidRDefault="004B6FC4" w:rsidP="000E33DE">
            <w:pPr>
              <w:pStyle w:val="CETBodytext"/>
              <w:rPr>
                <w:lang w:eastAsia="es-CO"/>
              </w:rPr>
            </w:pPr>
            <w:r>
              <w:rPr>
                <w:lang w:eastAsia="es-CO"/>
              </w:rPr>
              <w:t>99.53</w:t>
            </w:r>
          </w:p>
        </w:tc>
        <w:tc>
          <w:tcPr>
            <w:tcW w:w="1046" w:type="dxa"/>
            <w:tcBorders>
              <w:top w:val="single" w:sz="4" w:space="0" w:color="auto"/>
            </w:tcBorders>
            <w:shd w:val="clear" w:color="auto" w:fill="auto"/>
            <w:noWrap/>
            <w:vAlign w:val="center"/>
            <w:hideMark/>
          </w:tcPr>
          <w:p w14:paraId="64B9C98B" w14:textId="77777777" w:rsidR="004B6FC4" w:rsidRPr="0091544F" w:rsidRDefault="004B6FC4" w:rsidP="000E33DE">
            <w:pPr>
              <w:pStyle w:val="CETBodytext"/>
              <w:rPr>
                <w:lang w:eastAsia="es-CO"/>
              </w:rPr>
            </w:pPr>
            <w:r w:rsidRPr="0091544F">
              <w:rPr>
                <w:lang w:eastAsia="es-CO"/>
              </w:rPr>
              <w:t>30</w:t>
            </w:r>
            <w:r>
              <w:rPr>
                <w:lang w:eastAsia="es-CO"/>
              </w:rPr>
              <w:t>.</w:t>
            </w:r>
            <w:r w:rsidRPr="0091544F">
              <w:rPr>
                <w:lang w:eastAsia="es-CO"/>
              </w:rPr>
              <w:t>00</w:t>
            </w:r>
          </w:p>
        </w:tc>
        <w:tc>
          <w:tcPr>
            <w:tcW w:w="920" w:type="dxa"/>
            <w:tcBorders>
              <w:top w:val="single" w:sz="4" w:space="0" w:color="auto"/>
            </w:tcBorders>
            <w:shd w:val="clear" w:color="auto" w:fill="auto"/>
            <w:noWrap/>
            <w:vAlign w:val="center"/>
            <w:hideMark/>
          </w:tcPr>
          <w:p w14:paraId="4675B8F4" w14:textId="77777777" w:rsidR="004B6FC4" w:rsidRPr="0091544F" w:rsidRDefault="004B6FC4" w:rsidP="000E33DE">
            <w:pPr>
              <w:pStyle w:val="CETBodytext"/>
              <w:rPr>
                <w:lang w:eastAsia="es-CO"/>
              </w:rPr>
            </w:pPr>
            <w:r w:rsidRPr="0091544F">
              <w:rPr>
                <w:lang w:eastAsia="es-CO"/>
              </w:rPr>
              <w:t>30</w:t>
            </w:r>
            <w:r>
              <w:rPr>
                <w:lang w:eastAsia="es-CO"/>
              </w:rPr>
              <w:t>.</w:t>
            </w:r>
            <w:r w:rsidRPr="0091544F">
              <w:rPr>
                <w:lang w:eastAsia="es-CO"/>
              </w:rPr>
              <w:t>00</w:t>
            </w:r>
          </w:p>
        </w:tc>
      </w:tr>
      <w:tr w:rsidR="004B6FC4" w:rsidRPr="0091544F" w14:paraId="4DA59FB7" w14:textId="77777777" w:rsidTr="000E33DE">
        <w:trPr>
          <w:trHeight w:val="290"/>
          <w:jc w:val="center"/>
        </w:trPr>
        <w:tc>
          <w:tcPr>
            <w:tcW w:w="1565" w:type="dxa"/>
            <w:shd w:val="clear" w:color="auto" w:fill="auto"/>
            <w:noWrap/>
            <w:vAlign w:val="center"/>
            <w:hideMark/>
          </w:tcPr>
          <w:p w14:paraId="576FDF32" w14:textId="77777777" w:rsidR="004B6FC4" w:rsidRPr="0091544F" w:rsidRDefault="004B6FC4" w:rsidP="000E33DE">
            <w:pPr>
              <w:pStyle w:val="CETBodytext"/>
              <w:rPr>
                <w:lang w:eastAsia="es-CO"/>
              </w:rPr>
            </w:pPr>
            <w:r w:rsidRPr="0091544F">
              <w:rPr>
                <w:lang w:eastAsia="es-CO"/>
              </w:rPr>
              <w:t>P (bar)</w:t>
            </w:r>
          </w:p>
        </w:tc>
        <w:tc>
          <w:tcPr>
            <w:tcW w:w="936" w:type="dxa"/>
            <w:shd w:val="clear" w:color="auto" w:fill="auto"/>
            <w:noWrap/>
            <w:vAlign w:val="center"/>
            <w:hideMark/>
          </w:tcPr>
          <w:p w14:paraId="79D26B7C" w14:textId="77777777" w:rsidR="004B6FC4" w:rsidRPr="0091544F" w:rsidRDefault="004B6FC4" w:rsidP="000E33DE">
            <w:pPr>
              <w:pStyle w:val="CETBodytext"/>
              <w:rPr>
                <w:lang w:eastAsia="es-CO"/>
              </w:rPr>
            </w:pPr>
            <w:r w:rsidRPr="0091544F">
              <w:rPr>
                <w:lang w:eastAsia="es-CO"/>
              </w:rPr>
              <w:t>1.01</w:t>
            </w:r>
          </w:p>
        </w:tc>
        <w:tc>
          <w:tcPr>
            <w:tcW w:w="775" w:type="dxa"/>
            <w:shd w:val="clear" w:color="auto" w:fill="auto"/>
            <w:noWrap/>
            <w:vAlign w:val="center"/>
            <w:hideMark/>
          </w:tcPr>
          <w:p w14:paraId="18726A96" w14:textId="77777777" w:rsidR="004B6FC4" w:rsidRPr="0091544F" w:rsidRDefault="004B6FC4" w:rsidP="000E33DE">
            <w:pPr>
              <w:pStyle w:val="CETBodytext"/>
              <w:rPr>
                <w:lang w:eastAsia="es-CO"/>
              </w:rPr>
            </w:pPr>
            <w:r w:rsidRPr="0091544F">
              <w:rPr>
                <w:lang w:eastAsia="es-CO"/>
              </w:rPr>
              <w:t>1</w:t>
            </w:r>
            <w:r>
              <w:rPr>
                <w:lang w:eastAsia="es-CO"/>
              </w:rPr>
              <w:t>.</w:t>
            </w:r>
            <w:r w:rsidRPr="0091544F">
              <w:rPr>
                <w:lang w:eastAsia="es-CO"/>
              </w:rPr>
              <w:t>01</w:t>
            </w:r>
          </w:p>
        </w:tc>
        <w:tc>
          <w:tcPr>
            <w:tcW w:w="741" w:type="dxa"/>
            <w:shd w:val="clear" w:color="auto" w:fill="auto"/>
            <w:noWrap/>
            <w:vAlign w:val="center"/>
            <w:hideMark/>
          </w:tcPr>
          <w:p w14:paraId="786FBDC0" w14:textId="77777777" w:rsidR="004B6FC4" w:rsidRPr="0091544F" w:rsidRDefault="004B6FC4" w:rsidP="000E33DE">
            <w:pPr>
              <w:pStyle w:val="CETBodytext"/>
              <w:rPr>
                <w:lang w:eastAsia="es-CO"/>
              </w:rPr>
            </w:pPr>
            <w:r w:rsidRPr="0091544F">
              <w:rPr>
                <w:lang w:eastAsia="es-CO"/>
              </w:rPr>
              <w:t>1</w:t>
            </w:r>
            <w:r>
              <w:rPr>
                <w:lang w:eastAsia="es-CO"/>
              </w:rPr>
              <w:t>.</w:t>
            </w:r>
            <w:r w:rsidRPr="0091544F">
              <w:rPr>
                <w:lang w:eastAsia="es-CO"/>
              </w:rPr>
              <w:t>01</w:t>
            </w:r>
          </w:p>
        </w:tc>
        <w:tc>
          <w:tcPr>
            <w:tcW w:w="591" w:type="dxa"/>
            <w:shd w:val="clear" w:color="auto" w:fill="auto"/>
            <w:noWrap/>
            <w:vAlign w:val="center"/>
            <w:hideMark/>
          </w:tcPr>
          <w:p w14:paraId="71CF76F8" w14:textId="77777777" w:rsidR="004B6FC4" w:rsidRPr="0091544F" w:rsidRDefault="004B6FC4" w:rsidP="000E33DE">
            <w:pPr>
              <w:pStyle w:val="CETBodytext"/>
              <w:rPr>
                <w:lang w:eastAsia="es-CO"/>
              </w:rPr>
            </w:pPr>
            <w:r w:rsidRPr="0091544F">
              <w:rPr>
                <w:lang w:eastAsia="es-CO"/>
              </w:rPr>
              <w:t>1</w:t>
            </w:r>
            <w:r>
              <w:rPr>
                <w:lang w:eastAsia="es-CO"/>
              </w:rPr>
              <w:t>.</w:t>
            </w:r>
            <w:r w:rsidRPr="0091544F">
              <w:rPr>
                <w:lang w:eastAsia="es-CO"/>
              </w:rPr>
              <w:t>01</w:t>
            </w:r>
          </w:p>
        </w:tc>
        <w:tc>
          <w:tcPr>
            <w:tcW w:w="741" w:type="dxa"/>
            <w:shd w:val="clear" w:color="auto" w:fill="auto"/>
            <w:noWrap/>
            <w:vAlign w:val="center"/>
          </w:tcPr>
          <w:p w14:paraId="3F13EAA0" w14:textId="77777777" w:rsidR="004B6FC4" w:rsidRPr="0091544F" w:rsidRDefault="004B6FC4" w:rsidP="000E33DE">
            <w:pPr>
              <w:pStyle w:val="CETBodytext"/>
              <w:rPr>
                <w:lang w:eastAsia="es-CO"/>
              </w:rPr>
            </w:pPr>
            <w:r>
              <w:rPr>
                <w:lang w:eastAsia="es-CO"/>
              </w:rPr>
              <w:t>1.01</w:t>
            </w:r>
          </w:p>
        </w:tc>
        <w:tc>
          <w:tcPr>
            <w:tcW w:w="741" w:type="dxa"/>
            <w:shd w:val="clear" w:color="auto" w:fill="auto"/>
            <w:noWrap/>
            <w:vAlign w:val="center"/>
            <w:hideMark/>
          </w:tcPr>
          <w:p w14:paraId="7A1CD091" w14:textId="77777777" w:rsidR="004B6FC4" w:rsidRPr="0091544F" w:rsidRDefault="004B6FC4" w:rsidP="000E33DE">
            <w:pPr>
              <w:pStyle w:val="CETBodytext"/>
              <w:rPr>
                <w:lang w:eastAsia="es-CO"/>
              </w:rPr>
            </w:pPr>
            <w:r w:rsidRPr="0091544F">
              <w:rPr>
                <w:lang w:eastAsia="es-CO"/>
              </w:rPr>
              <w:t>1</w:t>
            </w:r>
            <w:r>
              <w:rPr>
                <w:lang w:eastAsia="es-CO"/>
              </w:rPr>
              <w:t>.01</w:t>
            </w:r>
          </w:p>
        </w:tc>
        <w:tc>
          <w:tcPr>
            <w:tcW w:w="713" w:type="dxa"/>
            <w:shd w:val="clear" w:color="auto" w:fill="auto"/>
            <w:noWrap/>
            <w:vAlign w:val="center"/>
            <w:hideMark/>
          </w:tcPr>
          <w:p w14:paraId="3E7A3FB7" w14:textId="77777777" w:rsidR="004B6FC4" w:rsidRPr="0091544F" w:rsidRDefault="004B6FC4" w:rsidP="000E33DE">
            <w:pPr>
              <w:pStyle w:val="CETBodytext"/>
              <w:rPr>
                <w:lang w:eastAsia="es-CO"/>
              </w:rPr>
            </w:pPr>
            <w:r w:rsidRPr="0091544F">
              <w:rPr>
                <w:lang w:eastAsia="es-CO"/>
              </w:rPr>
              <w:t>1</w:t>
            </w:r>
            <w:r>
              <w:rPr>
                <w:lang w:eastAsia="es-CO"/>
              </w:rPr>
              <w:t>.</w:t>
            </w:r>
            <w:r w:rsidRPr="0091544F">
              <w:rPr>
                <w:lang w:eastAsia="es-CO"/>
              </w:rPr>
              <w:t>01</w:t>
            </w:r>
          </w:p>
        </w:tc>
        <w:tc>
          <w:tcPr>
            <w:tcW w:w="1046" w:type="dxa"/>
            <w:shd w:val="clear" w:color="auto" w:fill="auto"/>
            <w:noWrap/>
            <w:vAlign w:val="center"/>
            <w:hideMark/>
          </w:tcPr>
          <w:p w14:paraId="72EB1ED4" w14:textId="77777777" w:rsidR="004B6FC4" w:rsidRPr="0091544F" w:rsidRDefault="004B6FC4" w:rsidP="000E33DE">
            <w:pPr>
              <w:pStyle w:val="CETBodytext"/>
              <w:rPr>
                <w:lang w:eastAsia="es-CO"/>
              </w:rPr>
            </w:pPr>
            <w:r w:rsidRPr="0091544F">
              <w:rPr>
                <w:lang w:eastAsia="es-CO"/>
              </w:rPr>
              <w:t>0</w:t>
            </w:r>
            <w:r>
              <w:rPr>
                <w:lang w:eastAsia="es-CO"/>
              </w:rPr>
              <w:t>.</w:t>
            </w:r>
            <w:r w:rsidRPr="0091544F">
              <w:rPr>
                <w:lang w:eastAsia="es-CO"/>
              </w:rPr>
              <w:t>10</w:t>
            </w:r>
          </w:p>
        </w:tc>
        <w:tc>
          <w:tcPr>
            <w:tcW w:w="920" w:type="dxa"/>
            <w:shd w:val="clear" w:color="auto" w:fill="auto"/>
            <w:noWrap/>
            <w:vAlign w:val="center"/>
            <w:hideMark/>
          </w:tcPr>
          <w:p w14:paraId="410A9291" w14:textId="77777777" w:rsidR="004B6FC4" w:rsidRPr="0091544F" w:rsidRDefault="004B6FC4" w:rsidP="000E33DE">
            <w:pPr>
              <w:pStyle w:val="CETBodytext"/>
              <w:rPr>
                <w:lang w:eastAsia="es-CO"/>
              </w:rPr>
            </w:pPr>
            <w:r w:rsidRPr="0091544F">
              <w:rPr>
                <w:lang w:eastAsia="es-CO"/>
              </w:rPr>
              <w:t>0</w:t>
            </w:r>
            <w:r>
              <w:rPr>
                <w:lang w:eastAsia="es-CO"/>
              </w:rPr>
              <w:t>.</w:t>
            </w:r>
            <w:r w:rsidRPr="0091544F">
              <w:rPr>
                <w:lang w:eastAsia="es-CO"/>
              </w:rPr>
              <w:t>70</w:t>
            </w:r>
          </w:p>
        </w:tc>
      </w:tr>
      <w:tr w:rsidR="004B6FC4" w:rsidRPr="0091544F" w14:paraId="352DC766" w14:textId="77777777" w:rsidTr="000E33DE">
        <w:trPr>
          <w:trHeight w:val="290"/>
          <w:jc w:val="center"/>
        </w:trPr>
        <w:tc>
          <w:tcPr>
            <w:tcW w:w="1565" w:type="dxa"/>
            <w:shd w:val="clear" w:color="auto" w:fill="auto"/>
            <w:noWrap/>
            <w:vAlign w:val="center"/>
            <w:hideMark/>
          </w:tcPr>
          <w:p w14:paraId="65ECFD8E" w14:textId="3E906851" w:rsidR="004B6FC4" w:rsidRPr="0091544F" w:rsidRDefault="004B6FC4" w:rsidP="000E33DE">
            <w:pPr>
              <w:pStyle w:val="CETBodytext"/>
              <w:rPr>
                <w:lang w:eastAsia="es-CO"/>
              </w:rPr>
            </w:pPr>
            <w:r w:rsidRPr="0091544F">
              <w:rPr>
                <w:lang w:eastAsia="es-CO"/>
              </w:rPr>
              <w:t>Mass</w:t>
            </w:r>
            <w:r w:rsidR="000E33DE">
              <w:rPr>
                <w:lang w:eastAsia="es-CO"/>
              </w:rPr>
              <w:t xml:space="preserve"> </w:t>
            </w:r>
            <w:r w:rsidRPr="0091544F">
              <w:rPr>
                <w:lang w:eastAsia="es-CO"/>
              </w:rPr>
              <w:t>flow (kg/h)</w:t>
            </w:r>
          </w:p>
        </w:tc>
        <w:tc>
          <w:tcPr>
            <w:tcW w:w="936" w:type="dxa"/>
            <w:shd w:val="clear" w:color="auto" w:fill="auto"/>
            <w:noWrap/>
            <w:vAlign w:val="center"/>
            <w:hideMark/>
          </w:tcPr>
          <w:p w14:paraId="4FC814C4" w14:textId="77777777" w:rsidR="004B6FC4" w:rsidRPr="0091544F" w:rsidRDefault="004B6FC4" w:rsidP="000E33DE">
            <w:pPr>
              <w:pStyle w:val="CETBodytext"/>
              <w:rPr>
                <w:lang w:eastAsia="es-CO"/>
              </w:rPr>
            </w:pPr>
            <w:r w:rsidRPr="0091544F">
              <w:rPr>
                <w:lang w:eastAsia="es-CO"/>
              </w:rPr>
              <w:t>1</w:t>
            </w:r>
            <w:r>
              <w:rPr>
                <w:lang w:eastAsia="es-CO"/>
              </w:rPr>
              <w:t>,</w:t>
            </w:r>
            <w:r w:rsidRPr="0091544F">
              <w:rPr>
                <w:lang w:eastAsia="es-CO"/>
              </w:rPr>
              <w:t>000</w:t>
            </w:r>
          </w:p>
        </w:tc>
        <w:tc>
          <w:tcPr>
            <w:tcW w:w="775" w:type="dxa"/>
            <w:shd w:val="clear" w:color="auto" w:fill="auto"/>
            <w:noWrap/>
            <w:vAlign w:val="center"/>
            <w:hideMark/>
          </w:tcPr>
          <w:p w14:paraId="49D1776C" w14:textId="77777777" w:rsidR="004B6FC4" w:rsidRPr="0091544F" w:rsidRDefault="004B6FC4" w:rsidP="000E33DE">
            <w:pPr>
              <w:pStyle w:val="CETBodytext"/>
              <w:rPr>
                <w:lang w:eastAsia="es-CO"/>
              </w:rPr>
            </w:pPr>
            <w:r w:rsidRPr="0091544F">
              <w:rPr>
                <w:lang w:eastAsia="es-CO"/>
              </w:rPr>
              <w:t>9</w:t>
            </w:r>
            <w:r>
              <w:rPr>
                <w:lang w:eastAsia="es-CO"/>
              </w:rPr>
              <w:t>,</w:t>
            </w:r>
            <w:r w:rsidRPr="0091544F">
              <w:rPr>
                <w:lang w:eastAsia="es-CO"/>
              </w:rPr>
              <w:t>000</w:t>
            </w:r>
          </w:p>
        </w:tc>
        <w:tc>
          <w:tcPr>
            <w:tcW w:w="741" w:type="dxa"/>
            <w:shd w:val="clear" w:color="auto" w:fill="auto"/>
            <w:noWrap/>
            <w:vAlign w:val="center"/>
            <w:hideMark/>
          </w:tcPr>
          <w:p w14:paraId="03DF4A5F" w14:textId="77777777" w:rsidR="004B6FC4" w:rsidRPr="0091544F" w:rsidRDefault="004B6FC4" w:rsidP="000E33DE">
            <w:pPr>
              <w:pStyle w:val="CETBodytext"/>
              <w:rPr>
                <w:lang w:eastAsia="es-CO"/>
              </w:rPr>
            </w:pPr>
            <w:r w:rsidRPr="0091544F">
              <w:rPr>
                <w:lang w:eastAsia="es-CO"/>
              </w:rPr>
              <w:t>1</w:t>
            </w:r>
            <w:r>
              <w:rPr>
                <w:lang w:eastAsia="es-CO"/>
              </w:rPr>
              <w:t>,</w:t>
            </w:r>
            <w:r w:rsidRPr="0091544F">
              <w:rPr>
                <w:lang w:eastAsia="es-CO"/>
              </w:rPr>
              <w:t>057</w:t>
            </w:r>
            <w:r>
              <w:rPr>
                <w:lang w:eastAsia="es-CO"/>
              </w:rPr>
              <w:t>.</w:t>
            </w:r>
            <w:r w:rsidRPr="0091544F">
              <w:rPr>
                <w:lang w:eastAsia="es-CO"/>
              </w:rPr>
              <w:t>9</w:t>
            </w:r>
          </w:p>
        </w:tc>
        <w:tc>
          <w:tcPr>
            <w:tcW w:w="591" w:type="dxa"/>
            <w:shd w:val="clear" w:color="auto" w:fill="auto"/>
            <w:noWrap/>
            <w:vAlign w:val="center"/>
            <w:hideMark/>
          </w:tcPr>
          <w:p w14:paraId="2834D3B6" w14:textId="77777777" w:rsidR="004B6FC4" w:rsidRPr="0091544F" w:rsidRDefault="004B6FC4" w:rsidP="000E33DE">
            <w:pPr>
              <w:pStyle w:val="CETBodytext"/>
              <w:rPr>
                <w:lang w:eastAsia="es-CO"/>
              </w:rPr>
            </w:pPr>
            <w:r w:rsidRPr="0091544F">
              <w:rPr>
                <w:lang w:eastAsia="es-CO"/>
              </w:rPr>
              <w:t>998</w:t>
            </w:r>
          </w:p>
        </w:tc>
        <w:tc>
          <w:tcPr>
            <w:tcW w:w="741" w:type="dxa"/>
            <w:shd w:val="clear" w:color="auto" w:fill="auto"/>
            <w:noWrap/>
            <w:vAlign w:val="center"/>
          </w:tcPr>
          <w:p w14:paraId="0DAAC59C" w14:textId="77777777" w:rsidR="004B6FC4" w:rsidRPr="0091544F" w:rsidRDefault="004B6FC4" w:rsidP="000E33DE">
            <w:pPr>
              <w:pStyle w:val="CETBodytext"/>
              <w:rPr>
                <w:lang w:eastAsia="es-CO"/>
              </w:rPr>
            </w:pPr>
            <w:r>
              <w:rPr>
                <w:lang w:eastAsia="es-CO"/>
              </w:rPr>
              <w:t>2,025.0</w:t>
            </w:r>
          </w:p>
        </w:tc>
        <w:tc>
          <w:tcPr>
            <w:tcW w:w="741" w:type="dxa"/>
            <w:shd w:val="clear" w:color="auto" w:fill="auto"/>
            <w:noWrap/>
            <w:vAlign w:val="center"/>
            <w:hideMark/>
          </w:tcPr>
          <w:p w14:paraId="6B6BB900" w14:textId="77777777" w:rsidR="004B6FC4" w:rsidRPr="0091544F" w:rsidRDefault="004B6FC4" w:rsidP="000E33DE">
            <w:pPr>
              <w:pStyle w:val="CETBodytext"/>
              <w:rPr>
                <w:lang w:eastAsia="es-CO"/>
              </w:rPr>
            </w:pPr>
            <w:r>
              <w:rPr>
                <w:lang w:eastAsia="es-CO"/>
              </w:rPr>
              <w:t>1,840.7</w:t>
            </w:r>
          </w:p>
        </w:tc>
        <w:tc>
          <w:tcPr>
            <w:tcW w:w="713" w:type="dxa"/>
            <w:shd w:val="clear" w:color="auto" w:fill="auto"/>
            <w:noWrap/>
            <w:vAlign w:val="center"/>
            <w:hideMark/>
          </w:tcPr>
          <w:p w14:paraId="1EA53235" w14:textId="77777777" w:rsidR="004B6FC4" w:rsidRPr="0091544F" w:rsidRDefault="004B6FC4" w:rsidP="000E33DE">
            <w:pPr>
              <w:pStyle w:val="CETBodytext"/>
              <w:rPr>
                <w:lang w:eastAsia="es-CO"/>
              </w:rPr>
            </w:pPr>
            <w:r w:rsidRPr="0091544F">
              <w:rPr>
                <w:lang w:eastAsia="es-CO"/>
              </w:rPr>
              <w:t>3</w:t>
            </w:r>
            <w:r>
              <w:rPr>
                <w:lang w:eastAsia="es-CO"/>
              </w:rPr>
              <w:t>68</w:t>
            </w:r>
          </w:p>
        </w:tc>
        <w:tc>
          <w:tcPr>
            <w:tcW w:w="1046" w:type="dxa"/>
            <w:shd w:val="clear" w:color="auto" w:fill="auto"/>
            <w:noWrap/>
            <w:vAlign w:val="center"/>
            <w:hideMark/>
          </w:tcPr>
          <w:p w14:paraId="4283E2D0" w14:textId="77777777" w:rsidR="004B6FC4" w:rsidRPr="0091544F" w:rsidRDefault="004B6FC4" w:rsidP="000E33DE">
            <w:pPr>
              <w:pStyle w:val="CETBodytext"/>
              <w:rPr>
                <w:lang w:eastAsia="es-CO"/>
              </w:rPr>
            </w:pPr>
            <w:r w:rsidRPr="0091544F">
              <w:rPr>
                <w:lang w:eastAsia="es-CO"/>
              </w:rPr>
              <w:t>2</w:t>
            </w:r>
            <w:r>
              <w:rPr>
                <w:lang w:eastAsia="es-CO"/>
              </w:rPr>
              <w:t>23.1</w:t>
            </w:r>
          </w:p>
        </w:tc>
        <w:tc>
          <w:tcPr>
            <w:tcW w:w="920" w:type="dxa"/>
            <w:shd w:val="clear" w:color="auto" w:fill="auto"/>
            <w:noWrap/>
            <w:vAlign w:val="center"/>
            <w:hideMark/>
          </w:tcPr>
          <w:p w14:paraId="58A10AF2" w14:textId="77777777" w:rsidR="004B6FC4" w:rsidRPr="0091544F" w:rsidRDefault="004B6FC4" w:rsidP="000E33DE">
            <w:pPr>
              <w:pStyle w:val="CETBodytext"/>
              <w:rPr>
                <w:lang w:eastAsia="es-CO"/>
              </w:rPr>
            </w:pPr>
            <w:r>
              <w:rPr>
                <w:lang w:eastAsia="es-CO"/>
              </w:rPr>
              <w:t>127.3</w:t>
            </w:r>
          </w:p>
        </w:tc>
      </w:tr>
    </w:tbl>
    <w:p w14:paraId="3518EFB2" w14:textId="429BF075" w:rsidR="004B6FC4" w:rsidRDefault="004B6FC4" w:rsidP="004B6FC4"/>
    <w:p w14:paraId="0E542A04" w14:textId="1AE41510" w:rsidR="000E33DE" w:rsidRPr="00FE14BF" w:rsidRDefault="000E33DE" w:rsidP="00FE14BF">
      <w:pPr>
        <w:pStyle w:val="CETBodytext"/>
      </w:pPr>
      <w:r w:rsidRPr="00FE14BF">
        <w:t xml:space="preserve">The environmental analysis for the microalgae-based biodiesel production </w:t>
      </w:r>
      <w:proofErr w:type="gramStart"/>
      <w:r w:rsidRPr="00FE14BF">
        <w:t>was carried</w:t>
      </w:r>
      <w:proofErr w:type="gramEnd"/>
      <w:r w:rsidRPr="00FE14BF">
        <w:t xml:space="preserve"> out using </w:t>
      </w:r>
      <w:proofErr w:type="spellStart"/>
      <w:r w:rsidRPr="00FE14BF">
        <w:t>War</w:t>
      </w:r>
      <w:r w:rsidR="002F2C2D">
        <w:t>GUI</w:t>
      </w:r>
      <w:proofErr w:type="spellEnd"/>
      <w:r w:rsidRPr="00FE14BF">
        <w:t xml:space="preserve"> software, taking into account the following considerations: </w:t>
      </w:r>
    </w:p>
    <w:p w14:paraId="4DDC8A0F" w14:textId="15BC393A" w:rsidR="000E33DE" w:rsidRPr="00FE14BF" w:rsidRDefault="000E33DE" w:rsidP="00FE14BF">
      <w:pPr>
        <w:pStyle w:val="CETBodytext"/>
        <w:numPr>
          <w:ilvl w:val="0"/>
          <w:numId w:val="25"/>
        </w:numPr>
      </w:pPr>
      <w:r w:rsidRPr="00FE14BF">
        <w:t xml:space="preserve">The fuel used as an energy source was natural gas due to being the least polluting concerning coal and oil </w:t>
      </w:r>
      <w:r w:rsidRPr="00FE14BF">
        <w:rPr>
          <w:rFonts w:eastAsia="Calibri"/>
        </w:rPr>
        <w:fldChar w:fldCharType="begin" w:fldLock="1"/>
      </w:r>
      <w:r w:rsidR="0060762A">
        <w:rPr>
          <w:rFonts w:eastAsia="Calibri"/>
        </w:rPr>
        <w:instrText>ADDIN CSL_CITATION {"citationItems":[{"id":"ITEM-1","itemData":{"DOI":"10.3923 / jeasci.2017.7265.7271","author":[{"dropping-particle":"","family":"Alvarez","given":"A.","non-dropping-particle":"","parse-names":false,"suffix":""},{"dropping-particle":"","family":"Avila","given":"Y.","non-dropping-particle":"De","parse-names":false,"suffix":""},{"dropping-particle":"","family":"González-Delgado","given":"A. D.","non-dropping-particle":"","parse-names":false,"suffix":""},{"dropping-particle":"","family":"Ortiz","given":"M.","non-dropping-particle":"","parse-names":false,"suffix":""}],"container-title":"Journal of Engineering and Applied Sciencies","id":"ITEM-1","issue":"23","issued":{"date-parts":[["2017"]]},"page":"7265-7271","title":"Environmental Assessment of Dual Crude Palm and Kernel Oil Production in Noth-Colombia usig WAR Algorithm","type":"article-journal","volume":"12"},"uris":["http://www.mendeley.com/documents/?uuid=ec7c7daa-a364-4dfd-92a7-e0d8cf591a04","http://www.mendeley.com/documents/?uuid=d48001f1-d04f-4c11-8b56-0f54905ad800"]}],"mendeley":{"formattedCitation":"(Alvarez et al., 2017)","plainTextFormattedCitation":"(Alvarez et al., 2017)","previouslyFormattedCitation":"[11]"},"properties":{"noteIndex":0},"schema":"https://github.com/citation-style-language/schema/raw/master/csl-citation.json"}</w:instrText>
      </w:r>
      <w:r w:rsidRPr="00FE14BF">
        <w:rPr>
          <w:rFonts w:eastAsia="Calibri"/>
        </w:rPr>
        <w:fldChar w:fldCharType="separate"/>
      </w:r>
      <w:r w:rsidR="0060762A" w:rsidRPr="0060762A">
        <w:rPr>
          <w:rFonts w:eastAsia="Calibri"/>
          <w:noProof/>
        </w:rPr>
        <w:t>(Alvarez et al., 2017)</w:t>
      </w:r>
      <w:r w:rsidRPr="00FE14BF">
        <w:rPr>
          <w:rFonts w:eastAsia="Calibri"/>
        </w:rPr>
        <w:fldChar w:fldCharType="end"/>
      </w:r>
      <w:r w:rsidRPr="00FE14BF">
        <w:rPr>
          <w:rFonts w:eastAsia="Calibri"/>
        </w:rPr>
        <w:t>.</w:t>
      </w:r>
    </w:p>
    <w:p w14:paraId="6E42877D" w14:textId="69ECE592" w:rsidR="005F3A71" w:rsidRPr="00FE14BF" w:rsidRDefault="000E33DE" w:rsidP="00FE14BF">
      <w:pPr>
        <w:pStyle w:val="CETBodytext"/>
        <w:numPr>
          <w:ilvl w:val="0"/>
          <w:numId w:val="25"/>
        </w:numPr>
      </w:pPr>
      <w:r w:rsidRPr="00FE14BF">
        <w:t>The energy required in the processes was estimated at 20,518.63 MJ/h</w:t>
      </w:r>
      <w:r w:rsidR="00384689">
        <w:t>.</w:t>
      </w:r>
      <w:r w:rsidRPr="00FE14BF">
        <w:t xml:space="preserve"> </w:t>
      </w:r>
    </w:p>
    <w:p w14:paraId="18236DAE" w14:textId="438B9E03" w:rsidR="000E33DE" w:rsidRPr="00FE14BF" w:rsidRDefault="000E33DE" w:rsidP="00FE14BF">
      <w:pPr>
        <w:pStyle w:val="CETBodytext"/>
      </w:pPr>
    </w:p>
    <w:p w14:paraId="66FDFB47" w14:textId="6EE20C09" w:rsidR="00D802D1" w:rsidRDefault="006938F9" w:rsidP="00FE14BF">
      <w:pPr>
        <w:pStyle w:val="CETBodytext"/>
      </w:pPr>
      <w:r>
        <w:rPr>
          <w:noProof/>
          <w:lang w:val="es-ES" w:eastAsia="es-ES"/>
        </w:rPr>
        <w:drawing>
          <wp:anchor distT="0" distB="0" distL="114300" distR="114300" simplePos="0" relativeHeight="251658240" behindDoc="1" locked="0" layoutInCell="1" allowOverlap="1" wp14:anchorId="50715C22" wp14:editId="60D027F5">
            <wp:simplePos x="0" y="0"/>
            <wp:positionH relativeFrom="page">
              <wp:align>center</wp:align>
            </wp:positionH>
            <wp:positionV relativeFrom="paragraph">
              <wp:posOffset>1473835</wp:posOffset>
            </wp:positionV>
            <wp:extent cx="5847715" cy="1333500"/>
            <wp:effectExtent l="0" t="0" r="63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ca correcta.png"/>
                    <pic:cNvPicPr/>
                  </pic:nvPicPr>
                  <pic:blipFill rotWithShape="1">
                    <a:blip r:embed="rId19">
                      <a:extLst>
                        <a:ext uri="{28A0092B-C50C-407E-A947-70E740481C1C}">
                          <a14:useLocalDpi xmlns:a14="http://schemas.microsoft.com/office/drawing/2010/main" val="0"/>
                        </a:ext>
                      </a:extLst>
                    </a:blip>
                    <a:srcRect b="4687"/>
                    <a:stretch/>
                  </pic:blipFill>
                  <pic:spPr bwMode="auto">
                    <a:xfrm>
                      <a:off x="0" y="0"/>
                      <a:ext cx="5847715" cy="1333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F0A1B" w:rsidRPr="00FE14BF">
        <w:t xml:space="preserve">Figure </w:t>
      </w:r>
      <w:r w:rsidR="00FE14BF">
        <w:t>3</w:t>
      </w:r>
      <w:r w:rsidR="006F0A1B" w:rsidRPr="00FE14BF">
        <w:t xml:space="preserve"> show</w:t>
      </w:r>
      <w:r w:rsidR="007E65FF" w:rsidRPr="00FE14BF">
        <w:t>s</w:t>
      </w:r>
      <w:r w:rsidR="006F0A1B" w:rsidRPr="00FE14BF">
        <w:t xml:space="preserve"> the environmental performance of the production of microalgae-based biodiesel via in-situ transesterification. </w:t>
      </w:r>
      <w:r w:rsidR="00D802D1" w:rsidRPr="00D802D1">
        <w:t>The process achieves negative values for the generated impacts (-55.5 PEI/h and -0.16 PEI/g of product), which indicates that the process consumes environmental impacts since there is a transformation of high impact raw materials such as methanol and sulfuric acid mainly into products with lower environmental impact such as biodiesel and glycerol.</w:t>
      </w:r>
      <w:r w:rsidR="00D802D1">
        <w:t xml:space="preserve"> </w:t>
      </w:r>
      <w:r w:rsidR="00D802D1" w:rsidRPr="00D802D1">
        <w:t xml:space="preserve">Regarding the total PEI emission rate, lower values are obtained in comparison with the production of other biofuels such as bioethanol from palm rachis </w:t>
      </w:r>
      <w:r w:rsidR="00D802D1" w:rsidRPr="00FE14BF">
        <w:fldChar w:fldCharType="begin" w:fldLock="1"/>
      </w:r>
      <w:r w:rsidR="0060762A">
        <w:instrText>ADDIN CSL_CITATION {"citationItems":[{"id":"ITEM-1","itemData":{"DOI":"10.3303/CET1870353","ISBN":"9788895608679","author":[{"dropping-particle":"","family":"Arteaga","given":"Steffy","non-dropping-particle":"","parse-names":false,"suffix":""},{"dropping-particle":"","family":"Sanjuan","given":"Maria","non-dropping-particle":"","parse-names":false,"suffix":""},{"dropping-particle":"","family":"González","given":"Angel","non-dropping-particle":"","parse-names":false,"suffix":""}],"id":"ITEM-1","issued":{"date-parts":[["2018"]]},"page":"2113-2118","title":"Computer-Aided Environmental Evaluation of Bioethanol Production from Empty Palm Fruit Bunches using Oxalic Acid Pretreatment and Molecular Sieves","type":"article-journal","volume":"70"},"uris":["http://www.mendeley.com/documents/?uuid=a2d5a06f-3540-4020-b57f-c9feaf5a49b7"]}],"mendeley":{"formattedCitation":"(Arteaga et al., 2018)","plainTextFormattedCitation":"(Arteaga et al., 2018)","previouslyFormattedCitation":"[12]"},"properties":{"noteIndex":0},"schema":"https://github.com/citation-style-language/schema/raw/master/csl-citation.json"}</w:instrText>
      </w:r>
      <w:r w:rsidR="00D802D1" w:rsidRPr="00FE14BF">
        <w:fldChar w:fldCharType="separate"/>
      </w:r>
      <w:r w:rsidR="0060762A" w:rsidRPr="0060762A">
        <w:rPr>
          <w:noProof/>
        </w:rPr>
        <w:t>(Arteaga et al., 2018)</w:t>
      </w:r>
      <w:r w:rsidR="00D802D1" w:rsidRPr="00FE14BF">
        <w:fldChar w:fldCharType="end"/>
      </w:r>
      <w:r w:rsidR="00D802D1">
        <w:t xml:space="preserve"> </w:t>
      </w:r>
      <w:r w:rsidR="00D802D1" w:rsidRPr="00D802D1">
        <w:t xml:space="preserve">or the </w:t>
      </w:r>
      <w:r w:rsidR="00D802D1">
        <w:t xml:space="preserve">dual </w:t>
      </w:r>
      <w:r w:rsidR="00D802D1" w:rsidRPr="00D802D1">
        <w:t>production of biodiesel and hydrogen in a combined biorefinery of palm and Jatropha biomass</w:t>
      </w:r>
      <w:r w:rsidR="00D802D1">
        <w:t xml:space="preserve"> </w:t>
      </w:r>
      <w:r w:rsidR="00062D52" w:rsidRPr="00FE14BF">
        <w:fldChar w:fldCharType="begin" w:fldLock="1"/>
      </w:r>
      <w:r w:rsidR="0060762A">
        <w:instrText>ADDIN CSL_CITATION {"citationItems":[{"id":"ITEM-1","itemData":{"DOI":"10.1021/acsomega.9b03049","ISSN":"24701343","abstract":"The biodiesel from lignocellulosic materials has been widely recognized as an alternative fuel to meet energy requirements worldwide, facing fossil fuel depletion, and emerging energy policies. In this work, the biorefinery approach was applied for biodiesel production from jatropha and palm oils in order to make it economically competitive by the utilization of residual biomass as the feedstock for obtaining hydrogen via steam reforming of glycerol and gasification. The linear chains for hydrogen and diesel were simulated using UniSim software and main stream properties were collected from the literature or predicted by correlations. The proposed scheme of biorefinery was analyzed through environmental and techno-economic assessment to identify the feasibility of this process to be implemented. Three different blends of oils (JO10-PO90, JO20-PO80, and JO30-PO70) were considered in the environmental analysis to determine alternatives for reducing potential environmental impacts (PEIs). It was found that the acidification potential highly contributed to the environmental impacts attributed to the use of fossil fuels for heating requirements, and JO30-PO70 blend exhibited the lowest PEI value. The economic indicators were calculated to be 8,455,147.29 $USD and 33.18% for the net present value and internal rate of return, respectively. These results revealed that the proposed combined biomass biorefinery is feasible to be scaled up without causing significant negative impacts on the environment.","author":[{"dropping-particle":"","family":"Ninõ-Villalobos","given":"Antonio","non-dropping-particle":"","parse-names":false,"suffix":""},{"dropping-particle":"","family":"Puello-Yarce","given":"Jaime","non-dropping-particle":"","parse-names":false,"suffix":""},{"dropping-particle":"","family":"González-Delgado","given":"Ángel Darió","non-dropping-particle":"","parse-names":false,"suffix":""},{"dropping-particle":"","family":"Ojeda","given":"K. A.","non-dropping-particle":"","parse-names":false,"suffix":""},{"dropping-particle":"","family":"Sánchez-Tuirán","given":"Eduardo","non-dropping-particle":"","parse-names":false,"suffix":""}],"container-title":"ACS Omega","id":"ITEM-1","issue":"13","issued":{"date-parts":[["2020"]]},"page":"7074-7084","title":"Biodiesel and Hydrogen Production in a Combined Palm and Jatropha Biomass Biorefinery: Simulation, Techno-Economic, and Environmental Evaluation","type":"article-journal","volume":"5"},"uris":["http://www.mendeley.com/documents/?uuid=cd9bec88-61e7-4721-b926-333653b7f409"]}],"mendeley":{"formattedCitation":"(Ninõ-Villalobos et al., 2020)","plainTextFormattedCitation":"(Ninõ-Villalobos et al., 2020)","previouslyFormattedCitation":"[13]"},"properties":{"noteIndex":0},"schema":"https://github.com/citation-style-language/schema/raw/master/csl-citation.json"}</w:instrText>
      </w:r>
      <w:r w:rsidR="00062D52" w:rsidRPr="00FE14BF">
        <w:fldChar w:fldCharType="separate"/>
      </w:r>
      <w:r w:rsidR="0060762A" w:rsidRPr="0060762A">
        <w:rPr>
          <w:noProof/>
        </w:rPr>
        <w:t>(Ninõ-Villalobos et al., 2020)</w:t>
      </w:r>
      <w:r w:rsidR="00062D52" w:rsidRPr="00FE14BF">
        <w:fldChar w:fldCharType="end"/>
      </w:r>
      <w:r w:rsidR="00062D52" w:rsidRPr="00FE14BF">
        <w:t xml:space="preserve">. </w:t>
      </w:r>
      <w:r w:rsidR="00073523" w:rsidRPr="00073523">
        <w:t xml:space="preserve">The PEI emission rate </w:t>
      </w:r>
      <w:proofErr w:type="gramStart"/>
      <w:r w:rsidR="00073523" w:rsidRPr="00073523">
        <w:t>is estimated</w:t>
      </w:r>
      <w:proofErr w:type="gramEnd"/>
      <w:r w:rsidR="00073523" w:rsidRPr="00073523">
        <w:t xml:space="preserve"> at 1.31 PEI/ kg of biodiesel and glycerol to produce 223.1 kg of biodiesel and 127.3 kg of glycerol; these values suggest that the process is environmentally efficient.  </w:t>
      </w:r>
    </w:p>
    <w:p w14:paraId="311D56D7" w14:textId="4786598F" w:rsidR="00E6110D" w:rsidRPr="002F2C2D" w:rsidRDefault="00D66F10" w:rsidP="002F2C2D">
      <w:pPr>
        <w:pStyle w:val="CETCaption"/>
      </w:pPr>
      <w:r w:rsidRPr="002F2C2D">
        <w:t>F</w:t>
      </w:r>
      <w:r w:rsidR="00E6110D" w:rsidRPr="002F2C2D">
        <w:t>igure</w:t>
      </w:r>
      <w:r w:rsidR="002F2C2D" w:rsidRPr="002F2C2D">
        <w:t xml:space="preserve"> </w:t>
      </w:r>
      <w:r w:rsidR="001066BD" w:rsidRPr="002F2C2D">
        <w:fldChar w:fldCharType="begin"/>
      </w:r>
      <w:r w:rsidR="001066BD" w:rsidRPr="002F2C2D">
        <w:instrText xml:space="preserve"> SEQ Figure_ \* ARABIC </w:instrText>
      </w:r>
      <w:r w:rsidR="001066BD" w:rsidRPr="002F2C2D">
        <w:fldChar w:fldCharType="separate"/>
      </w:r>
      <w:r w:rsidR="00EA1B8A" w:rsidRPr="002F2C2D">
        <w:t>3</w:t>
      </w:r>
      <w:r w:rsidR="001066BD" w:rsidRPr="002F2C2D">
        <w:fldChar w:fldCharType="end"/>
      </w:r>
      <w:r w:rsidR="001066BD" w:rsidRPr="002F2C2D">
        <w:t xml:space="preserve">. Total environmental performance </w:t>
      </w:r>
      <w:r w:rsidR="00384689" w:rsidRPr="002F2C2D">
        <w:t xml:space="preserve">of microalgae-based biodiesel production via in-situ transesterification </w:t>
      </w:r>
      <w:r w:rsidR="001066BD" w:rsidRPr="002F2C2D">
        <w:t>a) PEI per unit of time, b) PEI per unit of mass</w:t>
      </w:r>
    </w:p>
    <w:p w14:paraId="584877D6" w14:textId="469FF0E5" w:rsidR="008F4C85" w:rsidRPr="002859F0" w:rsidRDefault="00B237D1" w:rsidP="002859F0">
      <w:pPr>
        <w:pStyle w:val="CETBodytext"/>
      </w:pPr>
      <w:r w:rsidRPr="00B237D1">
        <w:t xml:space="preserve">The output and generated toxicological impacts for biodiesel production from microalgae </w:t>
      </w:r>
      <w:proofErr w:type="gramStart"/>
      <w:r w:rsidRPr="00B237D1">
        <w:t>are shown</w:t>
      </w:r>
      <w:proofErr w:type="gramEnd"/>
      <w:r w:rsidRPr="00B237D1">
        <w:t xml:space="preserve"> in Figure 4. Human toxicity by ingestion (HTPI) and terrestrial toxicity (TTP) reach the highest estimates for PEI production and generation, which is mainly due to the </w:t>
      </w:r>
      <w:r w:rsidRPr="002F2C2D">
        <w:t xml:space="preserve">output of trace amounts of sulfuric acid and hexane. </w:t>
      </w:r>
      <w:r w:rsidR="00656117" w:rsidRPr="002F2C2D">
        <w:t>Due to nature of fatty acid</w:t>
      </w:r>
      <w:r w:rsidR="006511C3" w:rsidRPr="002F2C2D">
        <w:t>s</w:t>
      </w:r>
      <w:r w:rsidR="002F2C2D" w:rsidRPr="002F2C2D">
        <w:t xml:space="preserve"> and high boiling point</w:t>
      </w:r>
      <w:r w:rsidR="00656117" w:rsidRPr="002F2C2D">
        <w:t>, they have minor atmospheric environme</w:t>
      </w:r>
      <w:r w:rsidR="00C37D69" w:rsidRPr="002F2C2D">
        <w:t>n</w:t>
      </w:r>
      <w:r w:rsidR="00656117" w:rsidRPr="002F2C2D">
        <w:t>tal impacts.</w:t>
      </w:r>
      <w:r w:rsidR="002F2C2D" w:rsidRPr="002F2C2D">
        <w:t xml:space="preserve"> </w:t>
      </w:r>
      <w:r w:rsidR="00656117" w:rsidRPr="002F2C2D">
        <w:t xml:space="preserve">Regarding </w:t>
      </w:r>
      <w:r w:rsidR="00656117" w:rsidRPr="002F2C2D">
        <w:lastRenderedPageBreak/>
        <w:t xml:space="preserve">toxicological impacts, they contribute significatively to increase output environmental impacts. Furthermore, these substances are used in alimentary and </w:t>
      </w:r>
      <w:proofErr w:type="spellStart"/>
      <w:r w:rsidR="00656117" w:rsidRPr="002F2C2D">
        <w:t>comestic</w:t>
      </w:r>
      <w:proofErr w:type="spellEnd"/>
      <w:r w:rsidR="00656117" w:rsidRPr="002F2C2D">
        <w:t xml:space="preserve"> industry</w:t>
      </w:r>
      <w:r w:rsidR="00FD30E1" w:rsidRPr="002F2C2D">
        <w:t xml:space="preserve"> (</w:t>
      </w:r>
      <w:proofErr w:type="spellStart"/>
      <w:r w:rsidR="00FD30E1" w:rsidRPr="002F2C2D">
        <w:t>Archambault</w:t>
      </w:r>
      <w:proofErr w:type="spellEnd"/>
      <w:r w:rsidR="00FD30E1" w:rsidRPr="002F2C2D">
        <w:t xml:space="preserve"> &amp; </w:t>
      </w:r>
      <w:proofErr w:type="spellStart"/>
      <w:r w:rsidR="00FD30E1" w:rsidRPr="002F2C2D">
        <w:t>Bonté</w:t>
      </w:r>
      <w:proofErr w:type="spellEnd"/>
      <w:r w:rsidR="00FD30E1" w:rsidRPr="002F2C2D">
        <w:t>, 2021</w:t>
      </w:r>
      <w:proofErr w:type="gramStart"/>
      <w:r w:rsidR="00FD30E1" w:rsidRPr="002F2C2D">
        <w:t xml:space="preserve">) </w:t>
      </w:r>
      <w:r w:rsidR="00656117" w:rsidRPr="002F2C2D">
        <w:t>,</w:t>
      </w:r>
      <w:proofErr w:type="gramEnd"/>
      <w:r w:rsidR="00656117" w:rsidRPr="002F2C2D">
        <w:t xml:space="preserve"> which means </w:t>
      </w:r>
      <w:r w:rsidR="002F2C2D" w:rsidRPr="002F2C2D">
        <w:t xml:space="preserve">that most of the </w:t>
      </w:r>
      <w:r w:rsidR="00656117" w:rsidRPr="002F2C2D">
        <w:t>fatty acids are safe to humans</w:t>
      </w:r>
      <w:r w:rsidR="00656117" w:rsidRPr="00656117">
        <w:t xml:space="preserve">. </w:t>
      </w:r>
      <w:r w:rsidRPr="00B237D1">
        <w:t>The results for the HTPE category were estimated at 26.60 PEI/h, which shows that the substances emitted do not represent a dermal exposure hazard to the human population.</w:t>
      </w:r>
      <w:r w:rsidR="00DB4192">
        <w:t xml:space="preserve"> </w:t>
      </w:r>
      <w:r w:rsidR="00F525F4">
        <w:t>Concerning</w:t>
      </w:r>
      <w:r w:rsidR="00DB4192" w:rsidRPr="00DB4192">
        <w:t xml:space="preserve"> the aquatic toxicity potential (ATP) category, values of 1.11 PEI/h were</w:t>
      </w:r>
      <w:r w:rsidR="00DB4192">
        <w:t xml:space="preserve"> estimated, </w:t>
      </w:r>
      <w:r w:rsidR="00DB4192" w:rsidRPr="00DB4192">
        <w:t>indicating that the process is less harmful to aquatic ecosystems</w:t>
      </w:r>
      <w:r w:rsidR="002859F0">
        <w:t xml:space="preserve">. </w:t>
      </w:r>
      <w:r w:rsidR="002859F0" w:rsidRPr="002859F0">
        <w:t>The values reached for the PEI generated were negative for all categories indicating that the products leaving the process are less toxic than the input streams; the methanol recovery stage reduces the amount of effluent, therefore the process is environmentally efficient from a toxicological view</w:t>
      </w:r>
      <w:r w:rsidR="002859F0">
        <w:t>point</w:t>
      </w:r>
      <w:r w:rsidR="002859F0" w:rsidRPr="002859F0">
        <w:t xml:space="preserve"> </w:t>
      </w:r>
      <w:r w:rsidR="008F4C85" w:rsidRPr="002859F0">
        <w:fldChar w:fldCharType="begin" w:fldLock="1"/>
      </w:r>
      <w:r w:rsidR="0060762A">
        <w:instrText>ADDIN CSL_CITATION {"citationItems":[{"id":"ITEM-1","itemData":{"DOI":"10.1612/inf.tecnol.4143it.08","ISSN":"07168756","abstract":"The environmental impact of recovering methanol in the traditional process of biodiesel production is presented. Biodiesel represents an alternative for diminishing impact on the environment. However, there are several biodiesel production processes and all of them have different impact on the environment. The methodology consists of simulating the process, apply the WAR algorithm for waste reduction and compare the results. Comparison is also done with literature data for similar cases. The analysis shows that methanol recovery transforms the conventional process of biodiesel production into an environmental friendly process.","author":[{"dropping-particle":"","family":"Marticorena","given":"Alfredo A.","non-dropping-particle":"","parse-names":false,"suffix":""},{"dropping-particle":"","family":"Mandagarán","given":"Beatriz A.","non-dropping-particle":"","parse-names":false,"suffix":""},{"dropping-particle":"","family":"Campanella","given":"Enrique A.","non-dropping-particle":"","parse-names":false,"suffix":""}],"container-title":"Informacion Tecnologica","id":"ITEM-1","issue":"1","issued":{"date-parts":[["2010"]]},"page":"23-30","title":"Análisis del impacto ambiental de la recuperación de metanol en la producción de biodiesel usando el algoritmo de reducción de desechos WAR","type":"article-journal","volume":"21"},"uris":["http://www.mendeley.com/documents/?uuid=d8d92835-93d4-48c1-81da-d483d347008c","http://www.mendeley.com/documents/?uuid=02f77261-7e1b-4988-8ebc-4f3544e3e1e6"]}],"mendeley":{"formattedCitation":"(Marticorena et al., 2010)","plainTextFormattedCitation":"(Marticorena et al., 2010)","previouslyFormattedCitation":"[14]"},"properties":{"noteIndex":0},"schema":"https://github.com/citation-style-language/schema/raw/master/csl-citation.json"}</w:instrText>
      </w:r>
      <w:r w:rsidR="008F4C85" w:rsidRPr="002859F0">
        <w:fldChar w:fldCharType="separate"/>
      </w:r>
      <w:r w:rsidR="0060762A" w:rsidRPr="0060762A">
        <w:rPr>
          <w:noProof/>
        </w:rPr>
        <w:t>(Marticorena et al., 2010)</w:t>
      </w:r>
      <w:r w:rsidR="008F4C85" w:rsidRPr="002859F0">
        <w:fldChar w:fldCharType="end"/>
      </w:r>
      <w:r w:rsidR="00C10587" w:rsidRPr="002859F0">
        <w:t xml:space="preserve">. </w:t>
      </w:r>
    </w:p>
    <w:p w14:paraId="7117550A" w14:textId="26A347C8" w:rsidR="001066BD" w:rsidRDefault="00D66F10" w:rsidP="005166EC">
      <w:pPr>
        <w:pStyle w:val="CETCaption"/>
        <w:jc w:val="center"/>
      </w:pPr>
      <w:r>
        <w:rPr>
          <w:noProof/>
          <w:lang w:val="es-ES" w:eastAsia="es-ES"/>
        </w:rPr>
        <w:drawing>
          <wp:inline distT="0" distB="0" distL="0" distR="0" wp14:anchorId="04ADBEC8" wp14:editId="3D485AE5">
            <wp:extent cx="3212667" cy="1800000"/>
            <wp:effectExtent l="0" t="0" r="698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0">
                      <a:extLst>
                        <a:ext uri="{28A0092B-C50C-407E-A947-70E740481C1C}">
                          <a14:useLocalDpi xmlns:a14="http://schemas.microsoft.com/office/drawing/2010/main" val="0"/>
                        </a:ext>
                      </a:extLst>
                    </a:blip>
                    <a:srcRect b="8242"/>
                    <a:stretch/>
                  </pic:blipFill>
                  <pic:spPr bwMode="auto">
                    <a:xfrm>
                      <a:off x="0" y="0"/>
                      <a:ext cx="3212667" cy="1800000"/>
                    </a:xfrm>
                    <a:prstGeom prst="rect">
                      <a:avLst/>
                    </a:prstGeom>
                    <a:noFill/>
                    <a:ln>
                      <a:noFill/>
                    </a:ln>
                    <a:extLst>
                      <a:ext uri="{53640926-AAD7-44D8-BBD7-CCE9431645EC}">
                        <a14:shadowObscured xmlns:a14="http://schemas.microsoft.com/office/drawing/2010/main"/>
                      </a:ext>
                    </a:extLst>
                  </pic:spPr>
                </pic:pic>
              </a:graphicData>
            </a:graphic>
          </wp:inline>
        </w:drawing>
      </w:r>
    </w:p>
    <w:p w14:paraId="25926929" w14:textId="786AA8B3" w:rsidR="005F206E" w:rsidRPr="002F2C2D" w:rsidRDefault="005166EC" w:rsidP="002F2C2D">
      <w:pPr>
        <w:pStyle w:val="CETCaption"/>
      </w:pPr>
      <w:r w:rsidRPr="002F2C2D">
        <w:t xml:space="preserve">Figure  </w:t>
      </w:r>
      <w:r w:rsidRPr="002F2C2D">
        <w:fldChar w:fldCharType="begin"/>
      </w:r>
      <w:r w:rsidRPr="002F2C2D">
        <w:instrText xml:space="preserve"> SEQ Figure_ \* ARABIC </w:instrText>
      </w:r>
      <w:r w:rsidRPr="002F2C2D">
        <w:fldChar w:fldCharType="separate"/>
      </w:r>
      <w:r w:rsidR="00EA1B8A" w:rsidRPr="002F2C2D">
        <w:t>4</w:t>
      </w:r>
      <w:r w:rsidRPr="002F2C2D">
        <w:fldChar w:fldCharType="end"/>
      </w:r>
      <w:r w:rsidRPr="002F2C2D">
        <w:t>. Toxicological</w:t>
      </w:r>
      <w:r w:rsidR="005F206E" w:rsidRPr="002F2C2D">
        <w:t xml:space="preserve"> impacts </w:t>
      </w:r>
      <w:r w:rsidR="00384689" w:rsidRPr="002F2C2D">
        <w:t>of microalgae-based</w:t>
      </w:r>
      <w:r w:rsidR="005F206E" w:rsidRPr="002F2C2D">
        <w:t xml:space="preserve"> biodiesel production via in-situ transesterification.</w:t>
      </w:r>
    </w:p>
    <w:p w14:paraId="72D94E22" w14:textId="606B9F0D" w:rsidR="002859F0" w:rsidRPr="00441452" w:rsidRDefault="00441452" w:rsidP="00441452">
      <w:pPr>
        <w:pStyle w:val="CETBodytext"/>
        <w:rPr>
          <w:i/>
        </w:rPr>
      </w:pPr>
      <w:r w:rsidRPr="00441452">
        <w:t>Figure 5 shows the atmospheric impacts emitted and generated through the system. The ozone depletion potential (ODP) and global warming potential (GWP) categories were estimated not to contribute significantly to the emission impacts compared to the other categories.</w:t>
      </w:r>
      <w:r>
        <w:t xml:space="preserve"> </w:t>
      </w:r>
      <w:r w:rsidRPr="00441452">
        <w:t>The photochemical oxidation potential (PCOP) category represents the highest contribution to the atmospheric impacts emitted which is attributed to the output of biofuels and smog-generating substances.</w:t>
      </w:r>
      <w:r>
        <w:t xml:space="preserve"> </w:t>
      </w:r>
      <w:proofErr w:type="gramStart"/>
      <w:r w:rsidRPr="00441452">
        <w:t xml:space="preserve">On the other hand, the impact output under the category of acidification potential is associated with the </w:t>
      </w:r>
      <w:r w:rsidRPr="002F2C2D">
        <w:t>sulfuric acid used as a catalyst, therefore, it is recommended to consider the use of a</w:t>
      </w:r>
      <w:r w:rsidR="00B54077" w:rsidRPr="002F2C2D">
        <w:t xml:space="preserve">lternative ecological catalysts, taking into account that </w:t>
      </w:r>
      <w:r w:rsidR="0064271F" w:rsidRPr="002F2C2D">
        <w:t xml:space="preserve">an alkaline </w:t>
      </w:r>
      <w:r w:rsidR="00B54077" w:rsidRPr="002F2C2D">
        <w:t>catalyst cannot be used as saponification reaction may be carried out because of the high content of free fatty acids.</w:t>
      </w:r>
      <w:proofErr w:type="gramEnd"/>
      <w:r w:rsidR="00026E39" w:rsidRPr="002F2C2D">
        <w:t xml:space="preserve"> </w:t>
      </w:r>
      <w:r w:rsidR="002F2C2D" w:rsidRPr="002F2C2D">
        <w:t>Some a</w:t>
      </w:r>
      <w:r w:rsidR="00A17A2D" w:rsidRPr="002F2C2D">
        <w:t>uthors have proposed the use of hydrochloric acid as catalyst of transesterification of microalgae (Kim et al., 2015), however</w:t>
      </w:r>
      <w:r w:rsidR="00D97834" w:rsidRPr="00D97834">
        <w:t xml:space="preserve"> hydrochloric </w:t>
      </w:r>
      <w:proofErr w:type="gramStart"/>
      <w:r w:rsidR="00D97834" w:rsidRPr="00D97834">
        <w:t>acid</w:t>
      </w:r>
      <w:r w:rsidR="00D97834">
        <w:t xml:space="preserve"> </w:t>
      </w:r>
      <w:r w:rsidR="00A17A2D">
        <w:t xml:space="preserve"> have</w:t>
      </w:r>
      <w:proofErr w:type="gramEnd"/>
      <w:r w:rsidR="00A17A2D">
        <w:t xml:space="preserve"> </w:t>
      </w:r>
      <w:r w:rsidR="00D97834">
        <w:t xml:space="preserve">a </w:t>
      </w:r>
      <w:r w:rsidR="00A17A2D">
        <w:t>higher</w:t>
      </w:r>
      <w:r w:rsidR="00D97834">
        <w:t xml:space="preserve"> </w:t>
      </w:r>
      <w:r w:rsidR="00A17A2D">
        <w:t xml:space="preserve">acidification </w:t>
      </w:r>
      <w:proofErr w:type="spellStart"/>
      <w:r w:rsidR="00A17A2D">
        <w:t>potencial</w:t>
      </w:r>
      <w:proofErr w:type="spellEnd"/>
      <w:r w:rsidR="00A17A2D">
        <w:t xml:space="preserve"> than </w:t>
      </w:r>
      <w:r w:rsidR="00A17A2D" w:rsidRPr="00A17A2D">
        <w:t>sulfuric acid</w:t>
      </w:r>
      <w:r w:rsidR="0064271F">
        <w:t xml:space="preserve">, as well </w:t>
      </w:r>
      <w:r w:rsidR="00D97834">
        <w:t>as HTPI and TTP.</w:t>
      </w:r>
      <w:r w:rsidR="002F2C2D">
        <w:t xml:space="preserve"> </w:t>
      </w:r>
      <w:r w:rsidR="00FB164F" w:rsidRPr="00FB164F">
        <w:t>Regarding</w:t>
      </w:r>
      <w:r w:rsidR="00FB164F">
        <w:t xml:space="preserve"> PEI generated</w:t>
      </w:r>
      <w:r w:rsidR="00FB164F" w:rsidRPr="00FB164F">
        <w:t>, positive values were obtained for all categories of atmospheric impact, indicating that the products obtained have a higher potential for atmospheric impact than the raw materials.</w:t>
      </w:r>
    </w:p>
    <w:p w14:paraId="321493F2" w14:textId="5AFA645B" w:rsidR="005166EC" w:rsidRDefault="00EA1B8A" w:rsidP="00EA1B8A">
      <w:pPr>
        <w:pStyle w:val="CETCaption"/>
        <w:jc w:val="center"/>
      </w:pPr>
      <w:r>
        <w:rPr>
          <w:noProof/>
          <w:lang w:val="es-ES" w:eastAsia="es-ES"/>
        </w:rPr>
        <w:drawing>
          <wp:inline distT="0" distB="0" distL="0" distR="0" wp14:anchorId="4416E62D" wp14:editId="27946772">
            <wp:extent cx="3318109" cy="18000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1">
                      <a:extLst>
                        <a:ext uri="{28A0092B-C50C-407E-A947-70E740481C1C}">
                          <a14:useLocalDpi xmlns:a14="http://schemas.microsoft.com/office/drawing/2010/main" val="0"/>
                        </a:ext>
                      </a:extLst>
                    </a:blip>
                    <a:srcRect b="9574"/>
                    <a:stretch/>
                  </pic:blipFill>
                  <pic:spPr bwMode="auto">
                    <a:xfrm>
                      <a:off x="0" y="0"/>
                      <a:ext cx="3318109" cy="1800000"/>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14:paraId="2F74FE7D" w14:textId="517C51CE" w:rsidR="005166EC" w:rsidRPr="002F2C2D" w:rsidRDefault="00EA1B8A" w:rsidP="002F2C2D">
      <w:pPr>
        <w:pStyle w:val="CETCaption"/>
      </w:pPr>
      <w:proofErr w:type="gramStart"/>
      <w:r w:rsidRPr="002F2C2D">
        <w:t xml:space="preserve">Figure  </w:t>
      </w:r>
      <w:proofErr w:type="gramEnd"/>
      <w:r w:rsidRPr="002F2C2D">
        <w:fldChar w:fldCharType="begin"/>
      </w:r>
      <w:r w:rsidRPr="002F2C2D">
        <w:instrText xml:space="preserve"> SEQ Figure_ \* ARABIC </w:instrText>
      </w:r>
      <w:r w:rsidRPr="002F2C2D">
        <w:fldChar w:fldCharType="separate"/>
      </w:r>
      <w:r w:rsidRPr="002F2C2D">
        <w:t>5</w:t>
      </w:r>
      <w:r w:rsidRPr="002F2C2D">
        <w:fldChar w:fldCharType="end"/>
      </w:r>
      <w:r w:rsidRPr="002F2C2D">
        <w:t xml:space="preserve">. </w:t>
      </w:r>
      <w:proofErr w:type="spellStart"/>
      <w:r w:rsidR="005F206E" w:rsidRPr="002F2C2D">
        <w:t>Atmospherical</w:t>
      </w:r>
      <w:proofErr w:type="spellEnd"/>
      <w:r w:rsidR="005F206E" w:rsidRPr="002F2C2D">
        <w:t xml:space="preserve"> impacts of </w:t>
      </w:r>
      <w:r w:rsidR="00384689" w:rsidRPr="002F2C2D">
        <w:t xml:space="preserve">microalgae-based </w:t>
      </w:r>
      <w:r w:rsidR="005F206E" w:rsidRPr="002F2C2D">
        <w:t>biodiesel production via in-situ transesterification.</w:t>
      </w:r>
    </w:p>
    <w:p w14:paraId="68D26B83" w14:textId="77777777" w:rsidR="00600535" w:rsidRPr="00B57B36" w:rsidRDefault="00600535" w:rsidP="00600535">
      <w:pPr>
        <w:pStyle w:val="CETHeading1"/>
        <w:rPr>
          <w:lang w:val="en-GB"/>
        </w:rPr>
      </w:pPr>
      <w:r w:rsidRPr="00B57B36">
        <w:rPr>
          <w:lang w:val="en-GB"/>
        </w:rPr>
        <w:t>Conclusions</w:t>
      </w:r>
    </w:p>
    <w:p w14:paraId="4F09AE50" w14:textId="6BD6E172" w:rsidR="00727D12" w:rsidRDefault="00F525F4" w:rsidP="00F525F4">
      <w:pPr>
        <w:pStyle w:val="CETBodytext"/>
      </w:pPr>
      <w:r w:rsidRPr="00F525F4">
        <w:t>In this study, the environmental performance of microalgae-based biodiesel production via in-situ tran</w:t>
      </w:r>
      <w:r>
        <w:t>s</w:t>
      </w:r>
      <w:r w:rsidRPr="00F525F4">
        <w:t>esterification was modeled, simulated</w:t>
      </w:r>
      <w:r>
        <w:t>,</w:t>
      </w:r>
      <w:r w:rsidRPr="00F525F4">
        <w:t xml:space="preserve"> and evaluated. The process was modeled for processing 1000 kg/h </w:t>
      </w:r>
      <w:r w:rsidRPr="00F525F4">
        <w:lastRenderedPageBreak/>
        <w:t xml:space="preserve">of microalgae and simulated using Aspen Plus software. </w:t>
      </w:r>
      <w:r w:rsidR="00727D12" w:rsidRPr="006511C3">
        <w:t>The output rate of PEI was estimated at 1.31E+00 PEI/kg of product indicating that the waste streams have low environmental impact potential</w:t>
      </w:r>
      <w:r w:rsidR="006511C3">
        <w:t xml:space="preserve"> compared to</w:t>
      </w:r>
      <w:r w:rsidR="006511C3" w:rsidRPr="006511C3">
        <w:t xml:space="preserve"> </w:t>
      </w:r>
      <w:r w:rsidR="006511C3">
        <w:t>a p</w:t>
      </w:r>
      <w:r w:rsidR="006511C3" w:rsidRPr="006511C3">
        <w:t>alm-based biorefinery</w:t>
      </w:r>
      <w:r w:rsidR="006511C3">
        <w:t xml:space="preserve"> whose PEI output rate was calculated about 3</w:t>
      </w:r>
      <w:r w:rsidR="006511C3" w:rsidRPr="006511C3">
        <w:t xml:space="preserve">E+00 </w:t>
      </w:r>
      <w:r w:rsidR="006511C3" w:rsidRPr="002F2C2D">
        <w:t>PEI/kg</w:t>
      </w:r>
      <w:r w:rsidR="0064271F" w:rsidRPr="002F2C2D">
        <w:t xml:space="preserve"> (</w:t>
      </w:r>
      <w:r w:rsidR="007D5F63" w:rsidRPr="002F2C2D">
        <w:t>Herrera-</w:t>
      </w:r>
      <w:proofErr w:type="spellStart"/>
      <w:r w:rsidR="007D5F63" w:rsidRPr="002F2C2D">
        <w:t>Aristizabal</w:t>
      </w:r>
      <w:proofErr w:type="spellEnd"/>
      <w:r w:rsidR="007D5F63" w:rsidRPr="002F2C2D">
        <w:t xml:space="preserve"> et. al., 2017</w:t>
      </w:r>
      <w:r w:rsidR="0064271F" w:rsidRPr="002F2C2D">
        <w:t>)</w:t>
      </w:r>
      <w:r w:rsidR="007D5F63" w:rsidRPr="002F2C2D">
        <w:t xml:space="preserve">. </w:t>
      </w:r>
      <w:proofErr w:type="gramStart"/>
      <w:r w:rsidR="00727D12" w:rsidRPr="002F2C2D">
        <w:t>Also</w:t>
      </w:r>
      <w:proofErr w:type="gramEnd"/>
      <w:r w:rsidR="00727D12" w:rsidRPr="002F2C2D">
        <w:t>, it was found that microalgae-based biodiesel production generate</w:t>
      </w:r>
      <w:r w:rsidR="003650D0" w:rsidRPr="002F2C2D">
        <w:t>s</w:t>
      </w:r>
      <w:r w:rsidR="004F0862">
        <w:t xml:space="preserve"> </w:t>
      </w:r>
      <w:r w:rsidR="003650D0">
        <w:t xml:space="preserve">negative </w:t>
      </w:r>
      <w:proofErr w:type="spellStart"/>
      <w:r w:rsidR="003650D0">
        <w:t>potencial</w:t>
      </w:r>
      <w:proofErr w:type="spellEnd"/>
      <w:r w:rsidR="003650D0">
        <w:t xml:space="preserve"> </w:t>
      </w:r>
      <w:r w:rsidR="004F0862">
        <w:t xml:space="preserve">environmental impacts taking into account that raw materials present higher </w:t>
      </w:r>
      <w:r w:rsidR="00727D12">
        <w:t xml:space="preserve">potential </w:t>
      </w:r>
      <w:r w:rsidR="004F0862">
        <w:t xml:space="preserve">environmental impacts than the products obtained. The category </w:t>
      </w:r>
      <w:proofErr w:type="gramStart"/>
      <w:r w:rsidR="004F0862">
        <w:t xml:space="preserve">of </w:t>
      </w:r>
      <w:r w:rsidR="003650D0">
        <w:t xml:space="preserve"> ozone</w:t>
      </w:r>
      <w:proofErr w:type="gramEnd"/>
      <w:r w:rsidR="003650D0">
        <w:t xml:space="preserve"> depletion potential is</w:t>
      </w:r>
      <w:r w:rsidR="006511C3">
        <w:t xml:space="preserve"> not</w:t>
      </w:r>
      <w:r w:rsidR="004F0862">
        <w:t xml:space="preserve"> affected by this process since the process does not regenerate CFC’s. </w:t>
      </w:r>
    </w:p>
    <w:p w14:paraId="459D05E6" w14:textId="4A3660D5" w:rsidR="00600535" w:rsidRDefault="00600535" w:rsidP="00600535">
      <w:pPr>
        <w:pStyle w:val="CETAcknowledgementstitle"/>
        <w:rPr>
          <w:lang w:val="en-US"/>
        </w:rPr>
      </w:pPr>
      <w:r w:rsidRPr="00C131B1">
        <w:rPr>
          <w:lang w:val="en-US"/>
        </w:rPr>
        <w:t>Acknowledgments</w:t>
      </w:r>
    </w:p>
    <w:p w14:paraId="2DC65D4F" w14:textId="49CC4F3C" w:rsidR="00FB164F" w:rsidRDefault="00FB164F" w:rsidP="00FB164F">
      <w:pPr>
        <w:pStyle w:val="TDAcknowledgments"/>
        <w:rPr>
          <w:lang w:val="en-US"/>
        </w:rPr>
      </w:pPr>
      <w:r w:rsidRPr="00FB164F">
        <w:rPr>
          <w:rStyle w:val="CETBodytextCarattere"/>
          <w:rFonts w:eastAsiaTheme="minorHAnsi"/>
        </w:rPr>
        <w:t>We would like to express our sincere gratitude to Universidad de Cartagena (Colombia) for providing</w:t>
      </w:r>
      <w:r w:rsidR="006938F9">
        <w:rPr>
          <w:rStyle w:val="CETBodytextCarattere"/>
          <w:rFonts w:eastAsiaTheme="minorHAnsi"/>
        </w:rPr>
        <w:t xml:space="preserve"> the equipment and software to </w:t>
      </w:r>
      <w:r w:rsidRPr="00FB164F">
        <w:rPr>
          <w:rStyle w:val="CETBodytextCarattere"/>
          <w:rFonts w:eastAsiaTheme="minorHAnsi"/>
        </w:rPr>
        <w:t>conclude this research</w:t>
      </w:r>
      <w:r>
        <w:t xml:space="preserve">. </w:t>
      </w:r>
    </w:p>
    <w:p w14:paraId="4F1327F8" w14:textId="55B504E0" w:rsidR="00600535" w:rsidRDefault="00600535" w:rsidP="00600535">
      <w:pPr>
        <w:pStyle w:val="CETReference"/>
      </w:pPr>
      <w:r w:rsidRPr="00B57B36">
        <w:t>References</w:t>
      </w:r>
    </w:p>
    <w:p w14:paraId="12DAA907" w14:textId="1EFDD63F" w:rsidR="00AF45F0" w:rsidRDefault="00600535" w:rsidP="00AF45F0">
      <w:pPr>
        <w:pStyle w:val="CETReferencetext"/>
      </w:pPr>
      <w:r w:rsidRPr="00B57B36">
        <w:t xml:space="preserve"> </w:t>
      </w:r>
      <w:r w:rsidR="00AF45F0">
        <w:t>Ali M., Sultana R., Tahir, S., Watson I. A., Saleem, M., 2017, Prospects of microalgal biodiesel production in Pakistan – A review</w:t>
      </w:r>
      <w:proofErr w:type="gramStart"/>
      <w:r w:rsidR="00AF45F0">
        <w:t>,  Renewable</w:t>
      </w:r>
      <w:proofErr w:type="gramEnd"/>
      <w:r w:rsidR="0025445E">
        <w:t>,</w:t>
      </w:r>
      <w:r w:rsidR="00AF45F0">
        <w:t xml:space="preserve"> and Sustainable Energy Reviews, 80,  1588–1596.</w:t>
      </w:r>
    </w:p>
    <w:p w14:paraId="6993308E" w14:textId="38AB5655" w:rsidR="00AF45F0" w:rsidRDefault="00AF45F0" w:rsidP="00AF45F0">
      <w:pPr>
        <w:pStyle w:val="CETReferencetext"/>
      </w:pPr>
      <w:proofErr w:type="spellStart"/>
      <w:r w:rsidRPr="00AF45F0">
        <w:rPr>
          <w:lang w:val="es-CO"/>
        </w:rPr>
        <w:t>Alvarez</w:t>
      </w:r>
      <w:proofErr w:type="spellEnd"/>
      <w:r w:rsidR="0025445E">
        <w:rPr>
          <w:lang w:val="es-CO"/>
        </w:rPr>
        <w:t xml:space="preserve"> </w:t>
      </w:r>
      <w:r w:rsidRPr="00AF45F0">
        <w:rPr>
          <w:lang w:val="es-CO"/>
        </w:rPr>
        <w:t xml:space="preserve">A., De </w:t>
      </w:r>
      <w:proofErr w:type="spellStart"/>
      <w:r w:rsidRPr="00AF45F0">
        <w:rPr>
          <w:lang w:val="es-CO"/>
        </w:rPr>
        <w:t>Avila</w:t>
      </w:r>
      <w:proofErr w:type="spellEnd"/>
      <w:r w:rsidRPr="00AF45F0">
        <w:rPr>
          <w:lang w:val="es-CO"/>
        </w:rPr>
        <w:t xml:space="preserve"> Y., González-Delgado A. D., Ortiz, </w:t>
      </w:r>
      <w:proofErr w:type="gramStart"/>
      <w:r w:rsidRPr="00AF45F0">
        <w:rPr>
          <w:lang w:val="es-CO"/>
        </w:rPr>
        <w:t>M</w:t>
      </w:r>
      <w:r w:rsidR="0025445E">
        <w:rPr>
          <w:lang w:val="es-CO"/>
        </w:rPr>
        <w:t xml:space="preserve">, </w:t>
      </w:r>
      <w:r w:rsidRPr="00AF45F0">
        <w:rPr>
          <w:lang w:val="es-CO"/>
        </w:rPr>
        <w:t xml:space="preserve"> 2017</w:t>
      </w:r>
      <w:proofErr w:type="gramEnd"/>
      <w:r w:rsidRPr="00AF45F0">
        <w:rPr>
          <w:lang w:val="es-CO"/>
        </w:rPr>
        <w:t xml:space="preserve">. </w:t>
      </w:r>
      <w:r>
        <w:t xml:space="preserve">Environmental Assessment of Dual Crude Palm and Kernel Oil Production in </w:t>
      </w:r>
      <w:proofErr w:type="spellStart"/>
      <w:r>
        <w:t>Noth</w:t>
      </w:r>
      <w:proofErr w:type="spellEnd"/>
      <w:r>
        <w:t>-Colombia usi</w:t>
      </w:r>
      <w:r w:rsidR="0025445E">
        <w:t>n</w:t>
      </w:r>
      <w:r>
        <w:t>g WAR Algorithm</w:t>
      </w:r>
      <w:r w:rsidR="0025445E">
        <w:t>,</w:t>
      </w:r>
      <w:r>
        <w:t xml:space="preserve"> Journal of Engineering and Applied Sciences, 12, 7265–7271. </w:t>
      </w:r>
    </w:p>
    <w:p w14:paraId="201BBF4A" w14:textId="08A9F05C" w:rsidR="00FD30E1" w:rsidRPr="00FD30E1" w:rsidRDefault="00FD30E1" w:rsidP="00AF45F0">
      <w:pPr>
        <w:pStyle w:val="CETReferencetext"/>
        <w:rPr>
          <w:lang w:val="es-ES"/>
        </w:rPr>
      </w:pPr>
      <w:proofErr w:type="spellStart"/>
      <w:r w:rsidRPr="00FD30E1">
        <w:rPr>
          <w:lang w:val="es-ES"/>
        </w:rPr>
        <w:t>Archambault</w:t>
      </w:r>
      <w:proofErr w:type="spellEnd"/>
      <w:r w:rsidRPr="00FD30E1">
        <w:rPr>
          <w:lang w:val="es-ES"/>
        </w:rPr>
        <w:t xml:space="preserve"> J., </w:t>
      </w:r>
      <w:proofErr w:type="spellStart"/>
      <w:r w:rsidRPr="00FD30E1">
        <w:rPr>
          <w:lang w:val="es-ES"/>
        </w:rPr>
        <w:t>Bonté</w:t>
      </w:r>
      <w:proofErr w:type="spellEnd"/>
      <w:r w:rsidRPr="00FD30E1">
        <w:rPr>
          <w:lang w:val="es-ES"/>
        </w:rPr>
        <w:t xml:space="preserve"> F., 2021, Vegetable </w:t>
      </w:r>
      <w:proofErr w:type="spellStart"/>
      <w:r w:rsidRPr="00FD30E1">
        <w:rPr>
          <w:lang w:val="es-ES"/>
        </w:rPr>
        <w:t>Fats</w:t>
      </w:r>
      <w:proofErr w:type="spellEnd"/>
      <w:r w:rsidRPr="00FD30E1">
        <w:rPr>
          <w:lang w:val="es-ES"/>
        </w:rPr>
        <w:t xml:space="preserve"> In </w:t>
      </w:r>
      <w:proofErr w:type="spellStart"/>
      <w:r w:rsidRPr="00FD30E1">
        <w:rPr>
          <w:lang w:val="es-ES"/>
        </w:rPr>
        <w:t>Cosmeticology</w:t>
      </w:r>
      <w:proofErr w:type="spellEnd"/>
      <w:r w:rsidRPr="00FD30E1">
        <w:rPr>
          <w:lang w:val="es-ES"/>
        </w:rPr>
        <w:t xml:space="preserve">, </w:t>
      </w:r>
      <w:r>
        <w:rPr>
          <w:lang w:val="es-ES"/>
        </w:rPr>
        <w:t>R</w:t>
      </w:r>
      <w:r w:rsidRPr="00FD30E1">
        <w:rPr>
          <w:lang w:val="es-ES"/>
        </w:rPr>
        <w:t>evista boliviana de química</w:t>
      </w:r>
      <w:r>
        <w:rPr>
          <w:lang w:val="es-ES"/>
        </w:rPr>
        <w:t>, 38, 68 – 79.</w:t>
      </w:r>
    </w:p>
    <w:p w14:paraId="4EBAAE92" w14:textId="680CABAE" w:rsidR="00AF45F0" w:rsidRDefault="00AF45F0" w:rsidP="00AF45F0">
      <w:pPr>
        <w:pStyle w:val="CETReferencetext"/>
      </w:pPr>
      <w:r w:rsidRPr="0025445E">
        <w:rPr>
          <w:lang w:val="en-US"/>
        </w:rPr>
        <w:t xml:space="preserve">Arteaga S., </w:t>
      </w:r>
      <w:proofErr w:type="spellStart"/>
      <w:r w:rsidRPr="0025445E">
        <w:rPr>
          <w:lang w:val="en-US"/>
        </w:rPr>
        <w:t>Sanjuan</w:t>
      </w:r>
      <w:proofErr w:type="spellEnd"/>
      <w:r w:rsidRPr="0025445E">
        <w:rPr>
          <w:lang w:val="en-US"/>
        </w:rPr>
        <w:t xml:space="preserve"> M.,  González</w:t>
      </w:r>
      <w:r w:rsidR="0025445E" w:rsidRPr="0025445E">
        <w:rPr>
          <w:lang w:val="en-US"/>
        </w:rPr>
        <w:t>-Delgado</w:t>
      </w:r>
      <w:r w:rsidRPr="0025445E">
        <w:rPr>
          <w:lang w:val="en-US"/>
        </w:rPr>
        <w:t xml:space="preserve"> A</w:t>
      </w:r>
      <w:r w:rsidR="0025445E" w:rsidRPr="0025445E">
        <w:rPr>
          <w:lang w:val="en-US"/>
        </w:rPr>
        <w:t xml:space="preserve">, </w:t>
      </w:r>
      <w:r w:rsidRPr="0025445E">
        <w:rPr>
          <w:lang w:val="en-US"/>
        </w:rPr>
        <w:t>2018</w:t>
      </w:r>
      <w:r w:rsidR="0025445E">
        <w:rPr>
          <w:lang w:val="en-US"/>
        </w:rPr>
        <w:t>,</w:t>
      </w:r>
      <w:r w:rsidRPr="0025445E">
        <w:rPr>
          <w:lang w:val="en-US"/>
        </w:rPr>
        <w:t xml:space="preserve"> </w:t>
      </w:r>
      <w:r>
        <w:t xml:space="preserve">Computer-Aided Environmental Evaluation of Bioethanol Production from Empty Palm Fruit Bunches using Oxalic Acid </w:t>
      </w:r>
      <w:proofErr w:type="spellStart"/>
      <w:r>
        <w:t>Pretreatment</w:t>
      </w:r>
      <w:proofErr w:type="spellEnd"/>
      <w:r>
        <w:t xml:space="preserve"> and Molecular Sieves</w:t>
      </w:r>
      <w:r w:rsidR="0025445E">
        <w:t xml:space="preserve">, Chemical Engineering Transactions, </w:t>
      </w:r>
      <w:r>
        <w:t>70</w:t>
      </w:r>
      <w:r w:rsidR="0025445E">
        <w:t xml:space="preserve">, </w:t>
      </w:r>
      <w:r>
        <w:t xml:space="preserve"> 2113–2118. </w:t>
      </w:r>
    </w:p>
    <w:p w14:paraId="6AC801F6" w14:textId="11EBD2AC" w:rsidR="00AF45F0" w:rsidRDefault="00AF45F0" w:rsidP="00AF45F0">
      <w:pPr>
        <w:pStyle w:val="CETReferencetext"/>
      </w:pPr>
      <w:r>
        <w:t>Azadi</w:t>
      </w:r>
      <w:r w:rsidR="0025445E">
        <w:t xml:space="preserve"> </w:t>
      </w:r>
      <w:r>
        <w:t>P., Malina</w:t>
      </w:r>
      <w:r w:rsidR="0025445E">
        <w:t xml:space="preserve"> </w:t>
      </w:r>
      <w:r>
        <w:t>R., Barrett S. R. H., Kraft M</w:t>
      </w:r>
      <w:r w:rsidR="0025445E">
        <w:t>,</w:t>
      </w:r>
      <w:r>
        <w:t xml:space="preserve"> 201</w:t>
      </w:r>
      <w:r w:rsidR="0025445E">
        <w:t xml:space="preserve">7, </w:t>
      </w:r>
      <w:r>
        <w:t>The evolution of the biofuel science. Renewable and Sustainable Energy Reviews, 76(October 2016), 1479–1484. https://doi.org/10.1016/j.rser.2016.11.181</w:t>
      </w:r>
    </w:p>
    <w:p w14:paraId="16001BED" w14:textId="086830F6" w:rsidR="00AF45F0" w:rsidRDefault="00AF45F0" w:rsidP="00AF45F0">
      <w:pPr>
        <w:pStyle w:val="CETReferencetext"/>
      </w:pPr>
      <w:r w:rsidRPr="00AF45F0">
        <w:rPr>
          <w:lang w:val="pt-BR"/>
        </w:rPr>
        <w:t xml:space="preserve">Do, T. X., Lim, Y. Il, &amp; Yeo, H. (2014). </w:t>
      </w:r>
      <w:r>
        <w:t>Techno-economic analysis of bio</w:t>
      </w:r>
      <w:r w:rsidR="0025445E">
        <w:t>-</w:t>
      </w:r>
      <w:r>
        <w:t>oil production process from palm empty fruit bunches</w:t>
      </w:r>
      <w:r w:rsidR="0025445E">
        <w:t xml:space="preserve">, </w:t>
      </w:r>
      <w:r>
        <w:t xml:space="preserve">Energy Conversion and Management, 80, 525–534. </w:t>
      </w:r>
    </w:p>
    <w:p w14:paraId="1D3C19C2" w14:textId="780958B4" w:rsidR="00AF45F0" w:rsidRPr="0025445E" w:rsidRDefault="00AF45F0" w:rsidP="00AF45F0">
      <w:pPr>
        <w:pStyle w:val="CETReferencetext"/>
        <w:rPr>
          <w:lang w:val="en-US"/>
        </w:rPr>
      </w:pPr>
      <w:proofErr w:type="spellStart"/>
      <w:r>
        <w:t>Ehimen</w:t>
      </w:r>
      <w:proofErr w:type="spellEnd"/>
      <w:r>
        <w:t xml:space="preserve"> </w:t>
      </w:r>
      <w:proofErr w:type="spellStart"/>
      <w:r>
        <w:t>Ehiaze</w:t>
      </w:r>
      <w:proofErr w:type="spellEnd"/>
      <w:r>
        <w:t>, A</w:t>
      </w:r>
      <w:proofErr w:type="gramStart"/>
      <w:r w:rsidR="0025445E">
        <w:t xml:space="preserve">, </w:t>
      </w:r>
      <w:r>
        <w:t xml:space="preserve"> 2010</w:t>
      </w:r>
      <w:proofErr w:type="gramEnd"/>
      <w:r w:rsidR="0025445E">
        <w:t>,</w:t>
      </w:r>
      <w:r>
        <w:t xml:space="preserve"> An investigation on the co-production of biodiesel and methane from microalgae</w:t>
      </w:r>
      <w:r w:rsidR="0025445E">
        <w:t xml:space="preserve">, </w:t>
      </w:r>
      <w:r>
        <w:t xml:space="preserve"> University of Otago. </w:t>
      </w:r>
    </w:p>
    <w:p w14:paraId="25B4E5F8" w14:textId="6C8F15BB" w:rsidR="00AF45F0" w:rsidRDefault="00AF45F0" w:rsidP="00AF45F0">
      <w:pPr>
        <w:pStyle w:val="CETReferencetext"/>
      </w:pPr>
      <w:r w:rsidRPr="0025445E">
        <w:rPr>
          <w:lang w:val="en-US"/>
        </w:rPr>
        <w:t>Herrera-</w:t>
      </w:r>
      <w:proofErr w:type="spellStart"/>
      <w:r w:rsidRPr="0025445E">
        <w:rPr>
          <w:lang w:val="en-US"/>
        </w:rPr>
        <w:t>Aristizábal</w:t>
      </w:r>
      <w:proofErr w:type="spellEnd"/>
      <w:r w:rsidR="0025445E" w:rsidRPr="0025445E">
        <w:rPr>
          <w:lang w:val="en-US"/>
        </w:rPr>
        <w:t xml:space="preserve"> </w:t>
      </w:r>
      <w:r w:rsidRPr="0025445E">
        <w:rPr>
          <w:lang w:val="en-US"/>
        </w:rPr>
        <w:t>R., Salgado-</w:t>
      </w:r>
      <w:proofErr w:type="spellStart"/>
      <w:r w:rsidR="0025445E" w:rsidRPr="0025445E">
        <w:rPr>
          <w:lang w:val="en-US"/>
        </w:rPr>
        <w:t>D</w:t>
      </w:r>
      <w:r w:rsidRPr="0025445E">
        <w:rPr>
          <w:lang w:val="en-US"/>
        </w:rPr>
        <w:t>ueñas</w:t>
      </w:r>
      <w:proofErr w:type="spellEnd"/>
      <w:r w:rsidRPr="0025445E">
        <w:rPr>
          <w:lang w:val="en-US"/>
        </w:rPr>
        <w:t xml:space="preserve"> J. S., Peralta-Ruiz Y.</w:t>
      </w:r>
      <w:r w:rsidR="0025445E" w:rsidRPr="0025445E">
        <w:rPr>
          <w:lang w:val="en-US"/>
        </w:rPr>
        <w:t xml:space="preserve">, </w:t>
      </w:r>
      <w:r w:rsidRPr="0025445E">
        <w:rPr>
          <w:lang w:val="en-US"/>
        </w:rPr>
        <w:t>González-Delgado A</w:t>
      </w:r>
      <w:r w:rsidR="0025445E" w:rsidRPr="0025445E">
        <w:rPr>
          <w:lang w:val="en-US"/>
        </w:rPr>
        <w:t xml:space="preserve">, </w:t>
      </w:r>
      <w:r w:rsidRPr="0025445E">
        <w:rPr>
          <w:lang w:val="en-US"/>
        </w:rPr>
        <w:t>2017</w:t>
      </w:r>
      <w:r w:rsidR="0025445E" w:rsidRPr="0025445E">
        <w:rPr>
          <w:lang w:val="en-US"/>
        </w:rPr>
        <w:t>,</w:t>
      </w:r>
      <w:r w:rsidRPr="0025445E">
        <w:rPr>
          <w:lang w:val="en-US"/>
        </w:rPr>
        <w:t xml:space="preserve"> </w:t>
      </w:r>
      <w:r>
        <w:t>Environmental Evaluation of a Palm-based biorefinery under North-Colombian Conditions</w:t>
      </w:r>
      <w:r w:rsidR="0025445E">
        <w:t>,</w:t>
      </w:r>
      <w:r>
        <w:t xml:space="preserve"> Chemical Engineering Transactions, 57, 193–198. </w:t>
      </w:r>
    </w:p>
    <w:p w14:paraId="48418664" w14:textId="4F12FB34" w:rsidR="00A17A2D" w:rsidRDefault="00D97834" w:rsidP="00AF45F0">
      <w:pPr>
        <w:pStyle w:val="CETReferencetext"/>
      </w:pPr>
      <w:r>
        <w:t>Kim B., Hanjin I., Lee J. W., 2015, I</w:t>
      </w:r>
      <w:r w:rsidRPr="00D97834">
        <w:t>n situ transesterification of highly wet microalgae using hydrochloric acid</w:t>
      </w:r>
      <w:r>
        <w:t xml:space="preserve">, </w:t>
      </w:r>
      <w:r w:rsidRPr="00D97834">
        <w:t>Bioresource Technology</w:t>
      </w:r>
      <w:r>
        <w:t>, 185, 421-425.</w:t>
      </w:r>
    </w:p>
    <w:p w14:paraId="27E7214E" w14:textId="2E8DC47B" w:rsidR="00AF45F0" w:rsidRPr="00AF45F0" w:rsidRDefault="00AF45F0" w:rsidP="00AF45F0">
      <w:pPr>
        <w:pStyle w:val="CETReferencetext"/>
        <w:rPr>
          <w:lang w:val="es-CO"/>
        </w:rPr>
      </w:pPr>
      <w:r w:rsidRPr="0025445E">
        <w:rPr>
          <w:lang w:val="es-CO"/>
        </w:rPr>
        <w:t xml:space="preserve">Marticorena A. A., </w:t>
      </w:r>
      <w:proofErr w:type="spellStart"/>
      <w:r w:rsidRPr="0025445E">
        <w:rPr>
          <w:lang w:val="es-CO"/>
        </w:rPr>
        <w:t>Mandagarán</w:t>
      </w:r>
      <w:proofErr w:type="spellEnd"/>
      <w:r w:rsidRPr="0025445E">
        <w:rPr>
          <w:lang w:val="es-CO"/>
        </w:rPr>
        <w:t xml:space="preserve"> B. A.,</w:t>
      </w:r>
      <w:r w:rsidR="0025445E" w:rsidRPr="0025445E">
        <w:rPr>
          <w:lang w:val="es-CO"/>
        </w:rPr>
        <w:t xml:space="preserve"> </w:t>
      </w:r>
      <w:r w:rsidRPr="0025445E">
        <w:rPr>
          <w:lang w:val="es-CO"/>
        </w:rPr>
        <w:t>Campanella E. A</w:t>
      </w:r>
      <w:r w:rsidR="0025445E" w:rsidRPr="0025445E">
        <w:rPr>
          <w:lang w:val="es-CO"/>
        </w:rPr>
        <w:t>,</w:t>
      </w:r>
      <w:r w:rsidRPr="0025445E">
        <w:rPr>
          <w:lang w:val="es-CO"/>
        </w:rPr>
        <w:t xml:space="preserve"> 2010</w:t>
      </w:r>
      <w:r w:rsidR="0025445E">
        <w:rPr>
          <w:lang w:val="es-CO"/>
        </w:rPr>
        <w:t xml:space="preserve">, </w:t>
      </w:r>
      <w:r w:rsidRPr="00AF45F0">
        <w:rPr>
          <w:lang w:val="es-CO"/>
        </w:rPr>
        <w:t>Análisis del impacto ambiental de la recuperación de metanol en la producción de biodiesel usando el algoritmo de reducción de desechos WAR.</w:t>
      </w:r>
      <w:r w:rsidR="0025445E">
        <w:rPr>
          <w:lang w:val="es-CO"/>
        </w:rPr>
        <w:t xml:space="preserve">, </w:t>
      </w:r>
      <w:proofErr w:type="spellStart"/>
      <w:r w:rsidRPr="00AF45F0">
        <w:rPr>
          <w:lang w:val="es-CO"/>
        </w:rPr>
        <w:t>Informacion</w:t>
      </w:r>
      <w:proofErr w:type="spellEnd"/>
      <w:r w:rsidRPr="00AF45F0">
        <w:rPr>
          <w:lang w:val="es-CO"/>
        </w:rPr>
        <w:t xml:space="preserve"> </w:t>
      </w:r>
      <w:proofErr w:type="spellStart"/>
      <w:r w:rsidRPr="00AF45F0">
        <w:rPr>
          <w:lang w:val="es-CO"/>
        </w:rPr>
        <w:t>Tecnologica</w:t>
      </w:r>
      <w:proofErr w:type="spellEnd"/>
      <w:r w:rsidRPr="00AF45F0">
        <w:rPr>
          <w:lang w:val="es-CO"/>
        </w:rPr>
        <w:t>, 21, 23–30.</w:t>
      </w:r>
    </w:p>
    <w:p w14:paraId="68F56861" w14:textId="2ACBDC76" w:rsidR="00AF45F0" w:rsidRPr="0025445E" w:rsidRDefault="00AF45F0" w:rsidP="00AF45F0">
      <w:pPr>
        <w:pStyle w:val="CETReferencetext"/>
        <w:rPr>
          <w:lang w:val="en-US"/>
        </w:rPr>
      </w:pPr>
      <w:r w:rsidRPr="0025445E">
        <w:rPr>
          <w:lang w:val="en-US"/>
        </w:rPr>
        <w:t>Musa I. A</w:t>
      </w:r>
      <w:r w:rsidR="0025445E" w:rsidRPr="0025445E">
        <w:rPr>
          <w:lang w:val="en-US"/>
        </w:rPr>
        <w:t>,</w:t>
      </w:r>
      <w:r w:rsidRPr="0025445E">
        <w:rPr>
          <w:lang w:val="en-US"/>
        </w:rPr>
        <w:t xml:space="preserve"> 2016</w:t>
      </w:r>
      <w:r w:rsidR="0025445E">
        <w:rPr>
          <w:lang w:val="en-US"/>
        </w:rPr>
        <w:t xml:space="preserve">, </w:t>
      </w:r>
      <w:r>
        <w:t>The effects of alcohol to oil molar ratios and the type of alcohol on biodiesel production using transesterification process</w:t>
      </w:r>
      <w:r w:rsidR="0025445E">
        <w:t xml:space="preserve">, </w:t>
      </w:r>
      <w:r w:rsidRPr="0025445E">
        <w:rPr>
          <w:lang w:val="en-US"/>
        </w:rPr>
        <w:t xml:space="preserve">Egyptian Journal of Petroleum, 25, 21–31. </w:t>
      </w:r>
    </w:p>
    <w:p w14:paraId="29B2302D" w14:textId="56E554BA" w:rsidR="00AF45F0" w:rsidRPr="0025445E" w:rsidRDefault="00AF45F0" w:rsidP="00AF45F0">
      <w:pPr>
        <w:pStyle w:val="CETReferencetext"/>
        <w:rPr>
          <w:lang w:val="en-US"/>
        </w:rPr>
      </w:pPr>
      <w:proofErr w:type="spellStart"/>
      <w:r w:rsidRPr="0025445E">
        <w:rPr>
          <w:lang w:val="en-US"/>
        </w:rPr>
        <w:t>Ninõ</w:t>
      </w:r>
      <w:proofErr w:type="spellEnd"/>
      <w:r w:rsidRPr="0025445E">
        <w:rPr>
          <w:lang w:val="en-US"/>
        </w:rPr>
        <w:t>-Villalobos</w:t>
      </w:r>
      <w:r w:rsidR="0025445E" w:rsidRPr="0025445E">
        <w:rPr>
          <w:lang w:val="en-US"/>
        </w:rPr>
        <w:t xml:space="preserve"> </w:t>
      </w:r>
      <w:r w:rsidRPr="0025445E">
        <w:rPr>
          <w:lang w:val="en-US"/>
        </w:rPr>
        <w:t xml:space="preserve">A., </w:t>
      </w:r>
      <w:proofErr w:type="spellStart"/>
      <w:r w:rsidRPr="0025445E">
        <w:rPr>
          <w:lang w:val="en-US"/>
        </w:rPr>
        <w:t>Puello-Yarce</w:t>
      </w:r>
      <w:proofErr w:type="spellEnd"/>
      <w:r w:rsidRPr="0025445E">
        <w:rPr>
          <w:lang w:val="en-US"/>
        </w:rPr>
        <w:t xml:space="preserve"> J., González-Delgado Á. D., Ojeda K. A., Sánchez-Tuirán E</w:t>
      </w:r>
      <w:r w:rsidR="0025445E" w:rsidRPr="0025445E">
        <w:rPr>
          <w:lang w:val="en-US"/>
        </w:rPr>
        <w:t xml:space="preserve">, </w:t>
      </w:r>
      <w:r w:rsidRPr="0025445E">
        <w:rPr>
          <w:lang w:val="en-US"/>
        </w:rPr>
        <w:t xml:space="preserve"> 2020</w:t>
      </w:r>
      <w:r w:rsidR="0025445E" w:rsidRPr="0025445E">
        <w:rPr>
          <w:lang w:val="en-US"/>
        </w:rPr>
        <w:t>,</w:t>
      </w:r>
      <w:r w:rsidR="0025445E">
        <w:rPr>
          <w:lang w:val="en-US"/>
        </w:rPr>
        <w:t xml:space="preserve"> </w:t>
      </w:r>
      <w:r w:rsidRPr="0025445E">
        <w:rPr>
          <w:lang w:val="en-US"/>
        </w:rPr>
        <w:t xml:space="preserve"> </w:t>
      </w:r>
      <w:r>
        <w:t>Biodiesel and Hydrogen Production in a Combined Palm and Jatropha Biomass Biorefinery: Simulation, Techno-Economic, and Environmental Evaluation</w:t>
      </w:r>
      <w:r w:rsidR="0025445E">
        <w:t xml:space="preserve">, </w:t>
      </w:r>
      <w:r w:rsidRPr="0025445E">
        <w:rPr>
          <w:lang w:val="en-US"/>
        </w:rPr>
        <w:t xml:space="preserve">ACS Omega, 5, 7074–7084. </w:t>
      </w:r>
    </w:p>
    <w:p w14:paraId="33EEE725" w14:textId="777D3DD6" w:rsidR="00AF45F0" w:rsidRPr="002F2C2D" w:rsidRDefault="00AF45F0" w:rsidP="00AF45F0">
      <w:pPr>
        <w:pStyle w:val="CETReferencetext"/>
      </w:pPr>
      <w:r w:rsidRPr="00FE749B">
        <w:rPr>
          <w:lang w:val="en-US"/>
        </w:rPr>
        <w:t>Pardo- Cardenas, Y., Herrera- Orozco, I., González-</w:t>
      </w:r>
      <w:r w:rsidR="00FE749B" w:rsidRPr="00FE749B">
        <w:rPr>
          <w:lang w:val="en-US"/>
        </w:rPr>
        <w:t xml:space="preserve"> Delgado, A. D., &amp; </w:t>
      </w:r>
      <w:proofErr w:type="spellStart"/>
      <w:r w:rsidR="00FE749B" w:rsidRPr="00FE749B">
        <w:rPr>
          <w:lang w:val="en-US"/>
        </w:rPr>
        <w:t>Kafarov</w:t>
      </w:r>
      <w:proofErr w:type="spellEnd"/>
      <w:r w:rsidR="00FE749B" w:rsidRPr="00FE749B">
        <w:rPr>
          <w:lang w:val="en-US"/>
        </w:rPr>
        <w:t>, V., 2013,</w:t>
      </w:r>
      <w:r w:rsidRPr="00FE749B">
        <w:rPr>
          <w:lang w:val="en-US"/>
        </w:rPr>
        <w:t xml:space="preserve"> </w:t>
      </w:r>
      <w:proofErr w:type="spellStart"/>
      <w:r>
        <w:t>Enviromental</w:t>
      </w:r>
      <w:proofErr w:type="spellEnd"/>
      <w:r>
        <w:t xml:space="preserve"> Assessment of Microalgae </w:t>
      </w:r>
      <w:proofErr w:type="spellStart"/>
      <w:r>
        <w:t>Biosiesel</w:t>
      </w:r>
      <w:proofErr w:type="spellEnd"/>
      <w:r>
        <w:t xml:space="preserve"> Production in Colombia: Comparison of Three oil Extraction Systems. </w:t>
      </w:r>
      <w:proofErr w:type="spellStart"/>
      <w:r w:rsidRPr="002F2C2D">
        <w:t>Latinoamerican</w:t>
      </w:r>
      <w:proofErr w:type="spellEnd"/>
      <w:r w:rsidRPr="002F2C2D">
        <w:t xml:space="preserve"> Journal of Oil &amp; Gas and Alternative Energy, 5, 85–100.</w:t>
      </w:r>
    </w:p>
    <w:p w14:paraId="1ABA3EFE" w14:textId="750BBF74" w:rsidR="00FE749B" w:rsidRPr="002F2C2D" w:rsidRDefault="00FE749B" w:rsidP="00AF45F0">
      <w:pPr>
        <w:pStyle w:val="CETReferencetext"/>
      </w:pPr>
      <w:r w:rsidRPr="002F2C2D">
        <w:rPr>
          <w:lang w:val="en-US"/>
        </w:rPr>
        <w:t xml:space="preserve">Peralta-Ruiz, Y., González-Delgado, A.-D., </w:t>
      </w:r>
      <w:proofErr w:type="spellStart"/>
      <w:r w:rsidRPr="002F2C2D">
        <w:rPr>
          <w:lang w:val="en-US"/>
        </w:rPr>
        <w:t>Kafarov</w:t>
      </w:r>
      <w:proofErr w:type="spellEnd"/>
      <w:r w:rsidRPr="002F2C2D">
        <w:rPr>
          <w:lang w:val="en-US"/>
        </w:rPr>
        <w:t xml:space="preserve">, V., 2013, </w:t>
      </w:r>
      <w:r w:rsidRPr="002F2C2D">
        <w:t>Evaluation of alternatives for microalgae oil extraction based on exergy analysis, Applied Energy, 101, 226–236.</w:t>
      </w:r>
    </w:p>
    <w:p w14:paraId="6996E679" w14:textId="1C410A0F" w:rsidR="00FE749B" w:rsidRDefault="00FE749B" w:rsidP="00AF45F0">
      <w:pPr>
        <w:pStyle w:val="CETReferencetext"/>
      </w:pPr>
      <w:r w:rsidRPr="002F2C2D">
        <w:rPr>
          <w:lang w:val="en-US"/>
        </w:rPr>
        <w:t xml:space="preserve">Piemonte, V., Di, L., </w:t>
      </w:r>
      <w:proofErr w:type="spellStart"/>
      <w:r w:rsidRPr="002F2C2D">
        <w:rPr>
          <w:lang w:val="en-US"/>
        </w:rPr>
        <w:t>Iaquaniello</w:t>
      </w:r>
      <w:proofErr w:type="spellEnd"/>
      <w:r w:rsidRPr="002F2C2D">
        <w:rPr>
          <w:lang w:val="en-US"/>
        </w:rPr>
        <w:t xml:space="preserve">, G., </w:t>
      </w:r>
      <w:proofErr w:type="spellStart"/>
      <w:r w:rsidRPr="002F2C2D">
        <w:rPr>
          <w:lang w:val="en-US"/>
        </w:rPr>
        <w:t>Prisciandaro</w:t>
      </w:r>
      <w:proofErr w:type="spellEnd"/>
      <w:r w:rsidRPr="002F2C2D">
        <w:rPr>
          <w:lang w:val="en-US"/>
        </w:rPr>
        <w:t xml:space="preserve">, M., 2016, </w:t>
      </w:r>
      <w:r w:rsidRPr="002F2C2D">
        <w:t>Biodiesel production from microalgae : ionic liquid process simulation, Journal of Cleaner Production, 111, 62–68</w:t>
      </w:r>
    </w:p>
    <w:p w14:paraId="6F264424" w14:textId="3881E6A7" w:rsidR="00AF45F0" w:rsidRDefault="00AF45F0" w:rsidP="00AF45F0">
      <w:pPr>
        <w:pStyle w:val="CETReferencetext"/>
      </w:pPr>
      <w:proofErr w:type="spellStart"/>
      <w:r w:rsidRPr="00C131B1">
        <w:rPr>
          <w:lang w:val="en-US"/>
        </w:rPr>
        <w:t>Rodolfi</w:t>
      </w:r>
      <w:proofErr w:type="spellEnd"/>
      <w:r w:rsidRPr="00C131B1">
        <w:rPr>
          <w:lang w:val="en-US"/>
        </w:rPr>
        <w:t xml:space="preserve"> L., </w:t>
      </w:r>
      <w:proofErr w:type="spellStart"/>
      <w:r w:rsidRPr="00C131B1">
        <w:rPr>
          <w:lang w:val="en-US"/>
        </w:rPr>
        <w:t>Zittelli</w:t>
      </w:r>
      <w:proofErr w:type="spellEnd"/>
      <w:r w:rsidRPr="00C131B1">
        <w:rPr>
          <w:lang w:val="en-US"/>
        </w:rPr>
        <w:t xml:space="preserve"> G. C., </w:t>
      </w:r>
      <w:proofErr w:type="spellStart"/>
      <w:r w:rsidRPr="00C131B1">
        <w:rPr>
          <w:lang w:val="en-US"/>
        </w:rPr>
        <w:t>Bassi</w:t>
      </w:r>
      <w:proofErr w:type="spellEnd"/>
      <w:r w:rsidRPr="00C131B1">
        <w:rPr>
          <w:lang w:val="en-US"/>
        </w:rPr>
        <w:t xml:space="preserve"> N., </w:t>
      </w:r>
      <w:proofErr w:type="spellStart"/>
      <w:r w:rsidRPr="00C131B1">
        <w:rPr>
          <w:lang w:val="en-US"/>
        </w:rPr>
        <w:t>Padovani</w:t>
      </w:r>
      <w:proofErr w:type="spellEnd"/>
      <w:r w:rsidRPr="00C131B1">
        <w:rPr>
          <w:lang w:val="en-US"/>
        </w:rPr>
        <w:t xml:space="preserve"> G., Biondi N., </w:t>
      </w:r>
      <w:proofErr w:type="spellStart"/>
      <w:r w:rsidRPr="00C131B1">
        <w:rPr>
          <w:lang w:val="en-US"/>
        </w:rPr>
        <w:t>Bonini</w:t>
      </w:r>
      <w:proofErr w:type="spellEnd"/>
      <w:r w:rsidRPr="00C131B1">
        <w:rPr>
          <w:lang w:val="en-US"/>
        </w:rPr>
        <w:t xml:space="preserve"> G., </w:t>
      </w:r>
      <w:proofErr w:type="spellStart"/>
      <w:r w:rsidRPr="00C131B1">
        <w:rPr>
          <w:lang w:val="en-US"/>
        </w:rPr>
        <w:t>Tredici</w:t>
      </w:r>
      <w:proofErr w:type="spellEnd"/>
      <w:r w:rsidRPr="00C131B1">
        <w:rPr>
          <w:lang w:val="en-US"/>
        </w:rPr>
        <w:t xml:space="preserve"> M. R</w:t>
      </w:r>
      <w:r w:rsidR="00C131B1" w:rsidRPr="00C131B1">
        <w:rPr>
          <w:lang w:val="en-US"/>
        </w:rPr>
        <w:t xml:space="preserve">, </w:t>
      </w:r>
      <w:r w:rsidRPr="00C131B1">
        <w:rPr>
          <w:lang w:val="en-US"/>
        </w:rPr>
        <w:t>2009</w:t>
      </w:r>
      <w:r w:rsidR="00C131B1" w:rsidRPr="00C131B1">
        <w:rPr>
          <w:lang w:val="en-US"/>
        </w:rPr>
        <w:t>,</w:t>
      </w:r>
      <w:r w:rsidRPr="00C131B1">
        <w:rPr>
          <w:lang w:val="en-US"/>
        </w:rPr>
        <w:t xml:space="preserve"> </w:t>
      </w:r>
      <w:r>
        <w:t>Microalgae for oil: Strain selection, induction of lipid synthesis and outdoor mass cultivation in a low-cost photobioreactor</w:t>
      </w:r>
      <w:r w:rsidR="00C131B1">
        <w:t xml:space="preserve">, </w:t>
      </w:r>
      <w:r>
        <w:t>Biotechnology and Bioengineering, 102</w:t>
      </w:r>
      <w:r w:rsidR="00C131B1">
        <w:t>,</w:t>
      </w:r>
      <w:r>
        <w:t xml:space="preserve"> 100–112. </w:t>
      </w:r>
    </w:p>
    <w:p w14:paraId="2A1100C8" w14:textId="413D99FD" w:rsidR="00AF45F0" w:rsidRDefault="00AF45F0" w:rsidP="00AF45F0">
      <w:pPr>
        <w:pStyle w:val="CETReferencetext"/>
      </w:pPr>
      <w:r>
        <w:t>Su</w:t>
      </w:r>
      <w:r w:rsidR="00C131B1">
        <w:t xml:space="preserve"> </w:t>
      </w:r>
      <w:r>
        <w:t>Y., Song K., Zhang P., Su</w:t>
      </w:r>
      <w:r w:rsidR="00C131B1">
        <w:t xml:space="preserve"> </w:t>
      </w:r>
      <w:r>
        <w:t>Y., Cheng J.,</w:t>
      </w:r>
      <w:r w:rsidR="00C131B1">
        <w:t xml:space="preserve"> </w:t>
      </w:r>
      <w:r>
        <w:t>Chen X</w:t>
      </w:r>
      <w:r w:rsidR="00512AC6">
        <w:t xml:space="preserve">, </w:t>
      </w:r>
      <w:r>
        <w:t>2017</w:t>
      </w:r>
      <w:r w:rsidR="00512AC6">
        <w:t>,</w:t>
      </w:r>
      <w:r>
        <w:t xml:space="preserve"> Progress of microalgae biofuel’s commercialization</w:t>
      </w:r>
      <w:r w:rsidR="00512AC6">
        <w:t xml:space="preserve">, </w:t>
      </w:r>
      <w:r>
        <w:t>Renewable and Sustainable Energy Reviews,</w:t>
      </w:r>
      <w:r w:rsidR="00512AC6">
        <w:t xml:space="preserve"> </w:t>
      </w:r>
      <w:r>
        <w:t xml:space="preserve">74, 402–411. </w:t>
      </w:r>
    </w:p>
    <w:p w14:paraId="19C4FC68" w14:textId="3C76F3F4" w:rsidR="004628D2" w:rsidRDefault="00AF45F0" w:rsidP="00AF45F0">
      <w:pPr>
        <w:pStyle w:val="CETReferencetext"/>
      </w:pPr>
      <w:r>
        <w:t>Yin Z., Zhu L., Li S., Hu</w:t>
      </w:r>
      <w:r w:rsidR="00512AC6">
        <w:t xml:space="preserve"> </w:t>
      </w:r>
      <w:r>
        <w:t>T., Chu</w:t>
      </w:r>
      <w:r w:rsidR="00512AC6">
        <w:t xml:space="preserve"> </w:t>
      </w:r>
      <w:r>
        <w:t>R., Mo F., Hu</w:t>
      </w:r>
      <w:r w:rsidR="00512AC6">
        <w:t xml:space="preserve"> </w:t>
      </w:r>
      <w:r>
        <w:t>D., Liu C.,  Li B</w:t>
      </w:r>
      <w:r w:rsidR="00512AC6">
        <w:t xml:space="preserve">, </w:t>
      </w:r>
      <w:r>
        <w:t>2020</w:t>
      </w:r>
      <w:r w:rsidR="00512AC6">
        <w:t>,</w:t>
      </w:r>
      <w:r>
        <w:t xml:space="preserve"> A comprehensive review on cultivation and harvesting of microalgae for biodiesel production: Environmental pollution control and future directions</w:t>
      </w:r>
      <w:r w:rsidR="00512AC6">
        <w:t>,</w:t>
      </w:r>
      <w:r>
        <w:t xml:space="preserve"> Bioresource Technology, 301, 122804. </w:t>
      </w:r>
    </w:p>
    <w:p w14:paraId="3A79B41A" w14:textId="77777777" w:rsidR="00C37D69" w:rsidRPr="00326497" w:rsidRDefault="00C37D69" w:rsidP="00AF45F0">
      <w:pPr>
        <w:pStyle w:val="CETReferencetext"/>
      </w:pPr>
    </w:p>
    <w:sectPr w:rsidR="00C37D69" w:rsidRPr="00326497"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FEC20" w14:textId="77777777" w:rsidR="007E69B7" w:rsidRDefault="007E69B7" w:rsidP="004F5E36">
      <w:r>
        <w:separator/>
      </w:r>
    </w:p>
  </w:endnote>
  <w:endnote w:type="continuationSeparator" w:id="0">
    <w:p w14:paraId="463619B4" w14:textId="77777777" w:rsidR="007E69B7" w:rsidRDefault="007E69B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no Pro">
    <w:altName w:val="Cambria"/>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ABD16" w14:textId="77777777" w:rsidR="00AF45F0" w:rsidRDefault="00AF45F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22C74" w14:textId="77777777" w:rsidR="00AF45F0" w:rsidRDefault="00AF45F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9306D" w14:textId="77777777" w:rsidR="00AF45F0" w:rsidRDefault="00AF45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02D23" w14:textId="77777777" w:rsidR="007E69B7" w:rsidRDefault="007E69B7" w:rsidP="004F5E36">
      <w:r>
        <w:separator/>
      </w:r>
    </w:p>
  </w:footnote>
  <w:footnote w:type="continuationSeparator" w:id="0">
    <w:p w14:paraId="089C3E3F" w14:textId="77777777" w:rsidR="007E69B7" w:rsidRDefault="007E69B7"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8FB5F" w14:textId="77777777" w:rsidR="00AF45F0" w:rsidRDefault="00AF45F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666AB" w14:textId="77777777" w:rsidR="00AF45F0" w:rsidRDefault="00AF45F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EA81A" w14:textId="77777777" w:rsidR="00AF45F0" w:rsidRDefault="00AF4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1A667DD6"/>
    <w:multiLevelType w:val="hybridMultilevel"/>
    <w:tmpl w:val="25023F16"/>
    <w:lvl w:ilvl="0" w:tplc="121E8050">
      <w:start w:val="127"/>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438217E"/>
    <w:multiLevelType w:val="multilevel"/>
    <w:tmpl w:val="D9DEC8EC"/>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E7A7E0C"/>
    <w:multiLevelType w:val="singleLevel"/>
    <w:tmpl w:val="E32C900E"/>
    <w:lvl w:ilvl="0">
      <w:start w:val="1"/>
      <w:numFmt w:val="decimal"/>
      <w:lvlText w:val="%1."/>
      <w:lvlJc w:val="left"/>
      <w:pPr>
        <w:tabs>
          <w:tab w:val="num" w:pos="562"/>
        </w:tabs>
        <w:ind w:left="562" w:hanging="360"/>
      </w:pPr>
      <w:rPr>
        <w:rFonts w:hint="default"/>
      </w:rPr>
    </w:lvl>
  </w:abstractNum>
  <w:abstractNum w:abstractNumId="16" w15:restartNumberingAfterBreak="0">
    <w:nsid w:val="40AF2F7D"/>
    <w:multiLevelType w:val="hybridMultilevel"/>
    <w:tmpl w:val="0A40854C"/>
    <w:lvl w:ilvl="0" w:tplc="98BAA818">
      <w:start w:val="1"/>
      <w:numFmt w:val="bullet"/>
      <w:lvlText w:val="-"/>
      <w:lvlJc w:val="left"/>
      <w:pPr>
        <w:ind w:left="540" w:hanging="360"/>
      </w:pPr>
      <w:rPr>
        <w:rFonts w:ascii="Arno Pro" w:eastAsia="Times New Roman" w:hAnsi="Arno Pro" w:cs="Times New Roman" w:hint="default"/>
      </w:rPr>
    </w:lvl>
    <w:lvl w:ilvl="1" w:tplc="240A0003" w:tentative="1">
      <w:start w:val="1"/>
      <w:numFmt w:val="bullet"/>
      <w:lvlText w:val="o"/>
      <w:lvlJc w:val="left"/>
      <w:pPr>
        <w:ind w:left="1260" w:hanging="360"/>
      </w:pPr>
      <w:rPr>
        <w:rFonts w:ascii="Courier New" w:hAnsi="Courier New" w:cs="Courier New" w:hint="default"/>
      </w:rPr>
    </w:lvl>
    <w:lvl w:ilvl="2" w:tplc="240A0005" w:tentative="1">
      <w:start w:val="1"/>
      <w:numFmt w:val="bullet"/>
      <w:lvlText w:val=""/>
      <w:lvlJc w:val="left"/>
      <w:pPr>
        <w:ind w:left="1980" w:hanging="360"/>
      </w:pPr>
      <w:rPr>
        <w:rFonts w:ascii="Wingdings" w:hAnsi="Wingdings" w:hint="default"/>
      </w:rPr>
    </w:lvl>
    <w:lvl w:ilvl="3" w:tplc="240A0001" w:tentative="1">
      <w:start w:val="1"/>
      <w:numFmt w:val="bullet"/>
      <w:lvlText w:val=""/>
      <w:lvlJc w:val="left"/>
      <w:pPr>
        <w:ind w:left="2700" w:hanging="360"/>
      </w:pPr>
      <w:rPr>
        <w:rFonts w:ascii="Symbol" w:hAnsi="Symbol" w:hint="default"/>
      </w:rPr>
    </w:lvl>
    <w:lvl w:ilvl="4" w:tplc="240A0003" w:tentative="1">
      <w:start w:val="1"/>
      <w:numFmt w:val="bullet"/>
      <w:lvlText w:val="o"/>
      <w:lvlJc w:val="left"/>
      <w:pPr>
        <w:ind w:left="3420" w:hanging="360"/>
      </w:pPr>
      <w:rPr>
        <w:rFonts w:ascii="Courier New" w:hAnsi="Courier New" w:cs="Courier New" w:hint="default"/>
      </w:rPr>
    </w:lvl>
    <w:lvl w:ilvl="5" w:tplc="240A0005" w:tentative="1">
      <w:start w:val="1"/>
      <w:numFmt w:val="bullet"/>
      <w:lvlText w:val=""/>
      <w:lvlJc w:val="left"/>
      <w:pPr>
        <w:ind w:left="4140" w:hanging="360"/>
      </w:pPr>
      <w:rPr>
        <w:rFonts w:ascii="Wingdings" w:hAnsi="Wingdings" w:hint="default"/>
      </w:rPr>
    </w:lvl>
    <w:lvl w:ilvl="6" w:tplc="240A0001" w:tentative="1">
      <w:start w:val="1"/>
      <w:numFmt w:val="bullet"/>
      <w:lvlText w:val=""/>
      <w:lvlJc w:val="left"/>
      <w:pPr>
        <w:ind w:left="4860" w:hanging="360"/>
      </w:pPr>
      <w:rPr>
        <w:rFonts w:ascii="Symbol" w:hAnsi="Symbol" w:hint="default"/>
      </w:rPr>
    </w:lvl>
    <w:lvl w:ilvl="7" w:tplc="240A0003" w:tentative="1">
      <w:start w:val="1"/>
      <w:numFmt w:val="bullet"/>
      <w:lvlText w:val="o"/>
      <w:lvlJc w:val="left"/>
      <w:pPr>
        <w:ind w:left="5580" w:hanging="360"/>
      </w:pPr>
      <w:rPr>
        <w:rFonts w:ascii="Courier New" w:hAnsi="Courier New" w:cs="Courier New" w:hint="default"/>
      </w:rPr>
    </w:lvl>
    <w:lvl w:ilvl="8" w:tplc="240A0005" w:tentative="1">
      <w:start w:val="1"/>
      <w:numFmt w:val="bullet"/>
      <w:lvlText w:val=""/>
      <w:lvlJc w:val="left"/>
      <w:pPr>
        <w:ind w:left="6300" w:hanging="360"/>
      </w:pPr>
      <w:rPr>
        <w:rFonts w:ascii="Wingdings" w:hAnsi="Wingdings" w:hint="default"/>
      </w:rPr>
    </w:lvl>
  </w:abstractNum>
  <w:abstractNum w:abstractNumId="17" w15:restartNumberingAfterBreak="0">
    <w:nsid w:val="4C797636"/>
    <w:multiLevelType w:val="hybridMultilevel"/>
    <w:tmpl w:val="0426789C"/>
    <w:lvl w:ilvl="0" w:tplc="240A0001">
      <w:start w:val="2"/>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0"/>
  </w:num>
  <w:num w:numId="13">
    <w:abstractNumId w:val="13"/>
  </w:num>
  <w:num w:numId="14">
    <w:abstractNumId w:val="21"/>
  </w:num>
  <w:num w:numId="15">
    <w:abstractNumId w:val="23"/>
  </w:num>
  <w:num w:numId="16">
    <w:abstractNumId w:val="22"/>
  </w:num>
  <w:num w:numId="17">
    <w:abstractNumId w:val="12"/>
  </w:num>
  <w:num w:numId="18">
    <w:abstractNumId w:val="13"/>
    <w:lvlOverride w:ilvl="0">
      <w:startOverride w:val="1"/>
    </w:lvlOverride>
  </w:num>
  <w:num w:numId="19">
    <w:abstractNumId w:val="19"/>
  </w:num>
  <w:num w:numId="20">
    <w:abstractNumId w:val="18"/>
  </w:num>
  <w:num w:numId="21">
    <w:abstractNumId w:val="14"/>
  </w:num>
  <w:num w:numId="22">
    <w:abstractNumId w:val="15"/>
  </w:num>
  <w:num w:numId="23">
    <w:abstractNumId w:val="16"/>
  </w:num>
  <w:num w:numId="24">
    <w:abstractNumId w:val="1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kwNK0FAC+bkuEtAAAA"/>
  </w:docVars>
  <w:rsids>
    <w:rsidRoot w:val="000E414A"/>
    <w:rsid w:val="000027C0"/>
    <w:rsid w:val="000052FB"/>
    <w:rsid w:val="000117CB"/>
    <w:rsid w:val="000239C4"/>
    <w:rsid w:val="00026E39"/>
    <w:rsid w:val="00027FDC"/>
    <w:rsid w:val="0003148D"/>
    <w:rsid w:val="00046C69"/>
    <w:rsid w:val="00051566"/>
    <w:rsid w:val="00062A9A"/>
    <w:rsid w:val="00062D52"/>
    <w:rsid w:val="00062F31"/>
    <w:rsid w:val="00065058"/>
    <w:rsid w:val="00073523"/>
    <w:rsid w:val="00086C39"/>
    <w:rsid w:val="000A03B2"/>
    <w:rsid w:val="000B0B82"/>
    <w:rsid w:val="000B4C14"/>
    <w:rsid w:val="000D34BE"/>
    <w:rsid w:val="000E102F"/>
    <w:rsid w:val="000E33DE"/>
    <w:rsid w:val="000E36F1"/>
    <w:rsid w:val="000E3A73"/>
    <w:rsid w:val="000E414A"/>
    <w:rsid w:val="000F093C"/>
    <w:rsid w:val="000F42E2"/>
    <w:rsid w:val="000F787B"/>
    <w:rsid w:val="001066BD"/>
    <w:rsid w:val="0012091F"/>
    <w:rsid w:val="00126BC2"/>
    <w:rsid w:val="00127584"/>
    <w:rsid w:val="001308B6"/>
    <w:rsid w:val="0013121F"/>
    <w:rsid w:val="00131FE6"/>
    <w:rsid w:val="0013263F"/>
    <w:rsid w:val="00134DE4"/>
    <w:rsid w:val="0014034D"/>
    <w:rsid w:val="0014464F"/>
    <w:rsid w:val="00150E59"/>
    <w:rsid w:val="00152812"/>
    <w:rsid w:val="00152DE3"/>
    <w:rsid w:val="00164CF9"/>
    <w:rsid w:val="00180860"/>
    <w:rsid w:val="00183A43"/>
    <w:rsid w:val="00184AD6"/>
    <w:rsid w:val="001A5B78"/>
    <w:rsid w:val="001B0349"/>
    <w:rsid w:val="001B34CB"/>
    <w:rsid w:val="001B65C1"/>
    <w:rsid w:val="001C4CF6"/>
    <w:rsid w:val="001C684B"/>
    <w:rsid w:val="001D53FC"/>
    <w:rsid w:val="001F42A5"/>
    <w:rsid w:val="001F7B9D"/>
    <w:rsid w:val="001F7D1A"/>
    <w:rsid w:val="00202B84"/>
    <w:rsid w:val="00212766"/>
    <w:rsid w:val="002172AA"/>
    <w:rsid w:val="00220078"/>
    <w:rsid w:val="002224B4"/>
    <w:rsid w:val="00224DAA"/>
    <w:rsid w:val="00231A00"/>
    <w:rsid w:val="002447EF"/>
    <w:rsid w:val="00251550"/>
    <w:rsid w:val="0025445E"/>
    <w:rsid w:val="00263B05"/>
    <w:rsid w:val="0027221A"/>
    <w:rsid w:val="00272CA1"/>
    <w:rsid w:val="00275B61"/>
    <w:rsid w:val="00282656"/>
    <w:rsid w:val="002859F0"/>
    <w:rsid w:val="00296B83"/>
    <w:rsid w:val="002B78CE"/>
    <w:rsid w:val="002C2FB6"/>
    <w:rsid w:val="002D29F9"/>
    <w:rsid w:val="002E6DD5"/>
    <w:rsid w:val="002F2C2D"/>
    <w:rsid w:val="003009B7"/>
    <w:rsid w:val="00300E56"/>
    <w:rsid w:val="0030469C"/>
    <w:rsid w:val="0030697D"/>
    <w:rsid w:val="00306F5B"/>
    <w:rsid w:val="003112F3"/>
    <w:rsid w:val="00314F76"/>
    <w:rsid w:val="00321CA6"/>
    <w:rsid w:val="00322112"/>
    <w:rsid w:val="00326497"/>
    <w:rsid w:val="00334C09"/>
    <w:rsid w:val="00344419"/>
    <w:rsid w:val="003650D0"/>
    <w:rsid w:val="003723D4"/>
    <w:rsid w:val="00376D05"/>
    <w:rsid w:val="00383F4B"/>
    <w:rsid w:val="00384689"/>
    <w:rsid w:val="00384CC8"/>
    <w:rsid w:val="003871FD"/>
    <w:rsid w:val="003952C6"/>
    <w:rsid w:val="003A1E30"/>
    <w:rsid w:val="003A7D1C"/>
    <w:rsid w:val="003B304B"/>
    <w:rsid w:val="003B3146"/>
    <w:rsid w:val="003C044A"/>
    <w:rsid w:val="003D3B52"/>
    <w:rsid w:val="003E0EB8"/>
    <w:rsid w:val="003F015E"/>
    <w:rsid w:val="00400414"/>
    <w:rsid w:val="0041446B"/>
    <w:rsid w:val="004156D9"/>
    <w:rsid w:val="0042419A"/>
    <w:rsid w:val="00441452"/>
    <w:rsid w:val="0044329C"/>
    <w:rsid w:val="0044504B"/>
    <w:rsid w:val="004577FE"/>
    <w:rsid w:val="00457B9C"/>
    <w:rsid w:val="0046164A"/>
    <w:rsid w:val="004628D2"/>
    <w:rsid w:val="00462DCD"/>
    <w:rsid w:val="004648AD"/>
    <w:rsid w:val="004703A9"/>
    <w:rsid w:val="004760DE"/>
    <w:rsid w:val="004A004E"/>
    <w:rsid w:val="004A24CF"/>
    <w:rsid w:val="004B6FC4"/>
    <w:rsid w:val="004C3D1D"/>
    <w:rsid w:val="004C5CDA"/>
    <w:rsid w:val="004C7913"/>
    <w:rsid w:val="004E4DD6"/>
    <w:rsid w:val="004F0862"/>
    <w:rsid w:val="004F5E36"/>
    <w:rsid w:val="00507B47"/>
    <w:rsid w:val="00507CC9"/>
    <w:rsid w:val="005119A5"/>
    <w:rsid w:val="00512AC6"/>
    <w:rsid w:val="005166EC"/>
    <w:rsid w:val="00516D93"/>
    <w:rsid w:val="00523CAC"/>
    <w:rsid w:val="005278B7"/>
    <w:rsid w:val="00532016"/>
    <w:rsid w:val="005346C8"/>
    <w:rsid w:val="0053495F"/>
    <w:rsid w:val="00537662"/>
    <w:rsid w:val="00543E7D"/>
    <w:rsid w:val="00547A68"/>
    <w:rsid w:val="005531C9"/>
    <w:rsid w:val="00567250"/>
    <w:rsid w:val="00584CD8"/>
    <w:rsid w:val="005A3E9C"/>
    <w:rsid w:val="005B2110"/>
    <w:rsid w:val="005B61E6"/>
    <w:rsid w:val="005C77E1"/>
    <w:rsid w:val="005D6A2F"/>
    <w:rsid w:val="005E1A82"/>
    <w:rsid w:val="005E794C"/>
    <w:rsid w:val="005F0A28"/>
    <w:rsid w:val="005F0E5E"/>
    <w:rsid w:val="005F206E"/>
    <w:rsid w:val="005F3A71"/>
    <w:rsid w:val="00600535"/>
    <w:rsid w:val="0060762A"/>
    <w:rsid w:val="00610CD6"/>
    <w:rsid w:val="00615AC3"/>
    <w:rsid w:val="00620C11"/>
    <w:rsid w:val="00620DEE"/>
    <w:rsid w:val="00621F92"/>
    <w:rsid w:val="00625639"/>
    <w:rsid w:val="00631B33"/>
    <w:rsid w:val="0064184D"/>
    <w:rsid w:val="0064271F"/>
    <w:rsid w:val="006511C3"/>
    <w:rsid w:val="00656117"/>
    <w:rsid w:val="00660E3E"/>
    <w:rsid w:val="00662E74"/>
    <w:rsid w:val="00680C23"/>
    <w:rsid w:val="00692591"/>
    <w:rsid w:val="00693766"/>
    <w:rsid w:val="006938F9"/>
    <w:rsid w:val="006A3281"/>
    <w:rsid w:val="006B0EFE"/>
    <w:rsid w:val="006B37C8"/>
    <w:rsid w:val="006B4888"/>
    <w:rsid w:val="006C2E45"/>
    <w:rsid w:val="006C359C"/>
    <w:rsid w:val="006C5579"/>
    <w:rsid w:val="006E30F6"/>
    <w:rsid w:val="006E737D"/>
    <w:rsid w:val="006F0A1B"/>
    <w:rsid w:val="006F1133"/>
    <w:rsid w:val="00710C6E"/>
    <w:rsid w:val="00720A24"/>
    <w:rsid w:val="00727D12"/>
    <w:rsid w:val="00732386"/>
    <w:rsid w:val="007447F3"/>
    <w:rsid w:val="0075499F"/>
    <w:rsid w:val="007661C8"/>
    <w:rsid w:val="0077098D"/>
    <w:rsid w:val="007A7BBA"/>
    <w:rsid w:val="007B0C50"/>
    <w:rsid w:val="007C1A43"/>
    <w:rsid w:val="007D5F63"/>
    <w:rsid w:val="007E65FF"/>
    <w:rsid w:val="007E69B7"/>
    <w:rsid w:val="00813288"/>
    <w:rsid w:val="008168FC"/>
    <w:rsid w:val="00820AF0"/>
    <w:rsid w:val="008251AF"/>
    <w:rsid w:val="00830996"/>
    <w:rsid w:val="008345F1"/>
    <w:rsid w:val="00852CB7"/>
    <w:rsid w:val="00865B07"/>
    <w:rsid w:val="008667EA"/>
    <w:rsid w:val="00873D70"/>
    <w:rsid w:val="0087637F"/>
    <w:rsid w:val="008926A4"/>
    <w:rsid w:val="00892AD5"/>
    <w:rsid w:val="008A1512"/>
    <w:rsid w:val="008A6BEC"/>
    <w:rsid w:val="008D433B"/>
    <w:rsid w:val="008E566E"/>
    <w:rsid w:val="008E773F"/>
    <w:rsid w:val="008F4C85"/>
    <w:rsid w:val="0090161A"/>
    <w:rsid w:val="00901EB6"/>
    <w:rsid w:val="009049B3"/>
    <w:rsid w:val="00904C62"/>
    <w:rsid w:val="00912B77"/>
    <w:rsid w:val="00915A70"/>
    <w:rsid w:val="00922257"/>
    <w:rsid w:val="00924DAC"/>
    <w:rsid w:val="00927058"/>
    <w:rsid w:val="009441D1"/>
    <w:rsid w:val="009450CE"/>
    <w:rsid w:val="00947179"/>
    <w:rsid w:val="0095164B"/>
    <w:rsid w:val="00954090"/>
    <w:rsid w:val="009573E7"/>
    <w:rsid w:val="00963E05"/>
    <w:rsid w:val="00967D54"/>
    <w:rsid w:val="00992CD7"/>
    <w:rsid w:val="00996483"/>
    <w:rsid w:val="00996F5A"/>
    <w:rsid w:val="009B041A"/>
    <w:rsid w:val="009C2027"/>
    <w:rsid w:val="009C28A5"/>
    <w:rsid w:val="009C7C86"/>
    <w:rsid w:val="009D2FF7"/>
    <w:rsid w:val="009E7884"/>
    <w:rsid w:val="009E788A"/>
    <w:rsid w:val="009F0E08"/>
    <w:rsid w:val="009F7075"/>
    <w:rsid w:val="009F7F64"/>
    <w:rsid w:val="00A1763D"/>
    <w:rsid w:val="00A17A2D"/>
    <w:rsid w:val="00A17CEC"/>
    <w:rsid w:val="00A27EF0"/>
    <w:rsid w:val="00A50B20"/>
    <w:rsid w:val="00A51390"/>
    <w:rsid w:val="00A60D13"/>
    <w:rsid w:val="00A72745"/>
    <w:rsid w:val="00A76EFC"/>
    <w:rsid w:val="00A80AFA"/>
    <w:rsid w:val="00A91010"/>
    <w:rsid w:val="00A97F29"/>
    <w:rsid w:val="00AA702E"/>
    <w:rsid w:val="00AB0964"/>
    <w:rsid w:val="00AB5011"/>
    <w:rsid w:val="00AC7368"/>
    <w:rsid w:val="00AD16B9"/>
    <w:rsid w:val="00AE2041"/>
    <w:rsid w:val="00AE377D"/>
    <w:rsid w:val="00AF45F0"/>
    <w:rsid w:val="00B17FBD"/>
    <w:rsid w:val="00B237D1"/>
    <w:rsid w:val="00B315A6"/>
    <w:rsid w:val="00B31813"/>
    <w:rsid w:val="00B31AA0"/>
    <w:rsid w:val="00B33365"/>
    <w:rsid w:val="00B43FD2"/>
    <w:rsid w:val="00B46C8C"/>
    <w:rsid w:val="00B54077"/>
    <w:rsid w:val="00B57B36"/>
    <w:rsid w:val="00B662E7"/>
    <w:rsid w:val="00B8686D"/>
    <w:rsid w:val="00B86DCD"/>
    <w:rsid w:val="00BC30C9"/>
    <w:rsid w:val="00BD0A6A"/>
    <w:rsid w:val="00BD496E"/>
    <w:rsid w:val="00BE3E58"/>
    <w:rsid w:val="00BF2E07"/>
    <w:rsid w:val="00C01616"/>
    <w:rsid w:val="00C0162B"/>
    <w:rsid w:val="00C02012"/>
    <w:rsid w:val="00C10587"/>
    <w:rsid w:val="00C131B1"/>
    <w:rsid w:val="00C31768"/>
    <w:rsid w:val="00C345B1"/>
    <w:rsid w:val="00C37D69"/>
    <w:rsid w:val="00C40142"/>
    <w:rsid w:val="00C57182"/>
    <w:rsid w:val="00C57863"/>
    <w:rsid w:val="00C655FD"/>
    <w:rsid w:val="00C71FB5"/>
    <w:rsid w:val="00C870A8"/>
    <w:rsid w:val="00C94434"/>
    <w:rsid w:val="00CA0D75"/>
    <w:rsid w:val="00CA11E7"/>
    <w:rsid w:val="00CA183A"/>
    <w:rsid w:val="00CA1C95"/>
    <w:rsid w:val="00CA5A9C"/>
    <w:rsid w:val="00CB343A"/>
    <w:rsid w:val="00CC4AD2"/>
    <w:rsid w:val="00CC7BAA"/>
    <w:rsid w:val="00CD5FE2"/>
    <w:rsid w:val="00CD6437"/>
    <w:rsid w:val="00CE7C68"/>
    <w:rsid w:val="00CF7E48"/>
    <w:rsid w:val="00D02B4C"/>
    <w:rsid w:val="00D040C4"/>
    <w:rsid w:val="00D06790"/>
    <w:rsid w:val="00D261D3"/>
    <w:rsid w:val="00D46AD6"/>
    <w:rsid w:val="00D57C84"/>
    <w:rsid w:val="00D6057D"/>
    <w:rsid w:val="00D66F10"/>
    <w:rsid w:val="00D7321D"/>
    <w:rsid w:val="00D802D1"/>
    <w:rsid w:val="00D82169"/>
    <w:rsid w:val="00D84576"/>
    <w:rsid w:val="00D97834"/>
    <w:rsid w:val="00DA1399"/>
    <w:rsid w:val="00DA24C6"/>
    <w:rsid w:val="00DA30F4"/>
    <w:rsid w:val="00DA4895"/>
    <w:rsid w:val="00DA4D7B"/>
    <w:rsid w:val="00DA65A9"/>
    <w:rsid w:val="00DA7FBC"/>
    <w:rsid w:val="00DB4192"/>
    <w:rsid w:val="00DB6788"/>
    <w:rsid w:val="00DD4B87"/>
    <w:rsid w:val="00DE1103"/>
    <w:rsid w:val="00DE264A"/>
    <w:rsid w:val="00DF6B4A"/>
    <w:rsid w:val="00DF7FB9"/>
    <w:rsid w:val="00E02D18"/>
    <w:rsid w:val="00E041E7"/>
    <w:rsid w:val="00E05C47"/>
    <w:rsid w:val="00E23CA1"/>
    <w:rsid w:val="00E409A8"/>
    <w:rsid w:val="00E50C12"/>
    <w:rsid w:val="00E60EA3"/>
    <w:rsid w:val="00E6110D"/>
    <w:rsid w:val="00E65B91"/>
    <w:rsid w:val="00E7209D"/>
    <w:rsid w:val="00E77223"/>
    <w:rsid w:val="00E8528B"/>
    <w:rsid w:val="00E85B94"/>
    <w:rsid w:val="00E8604E"/>
    <w:rsid w:val="00E978D0"/>
    <w:rsid w:val="00EA1B8A"/>
    <w:rsid w:val="00EA4613"/>
    <w:rsid w:val="00EA7F91"/>
    <w:rsid w:val="00EB1523"/>
    <w:rsid w:val="00EC0E49"/>
    <w:rsid w:val="00EC6199"/>
    <w:rsid w:val="00EE0131"/>
    <w:rsid w:val="00EF2394"/>
    <w:rsid w:val="00F30C64"/>
    <w:rsid w:val="00F32CDB"/>
    <w:rsid w:val="00F525F4"/>
    <w:rsid w:val="00F63A70"/>
    <w:rsid w:val="00F70BA7"/>
    <w:rsid w:val="00FA21D0"/>
    <w:rsid w:val="00FA5F5F"/>
    <w:rsid w:val="00FB164F"/>
    <w:rsid w:val="00FB730C"/>
    <w:rsid w:val="00FC1398"/>
    <w:rsid w:val="00FC2695"/>
    <w:rsid w:val="00FC3E03"/>
    <w:rsid w:val="00FC3FC1"/>
    <w:rsid w:val="00FD30E1"/>
    <w:rsid w:val="00FE06EF"/>
    <w:rsid w:val="00FE14BF"/>
    <w:rsid w:val="00FE15AD"/>
    <w:rsid w:val="00FE480D"/>
    <w:rsid w:val="00FE749B"/>
    <w:rsid w:val="00FF1A1A"/>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5:docId w15:val="{69204259-78C3-4225-9FDF-999B58EF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5F3A71"/>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5F3A71"/>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customStyle="1" w:styleId="Mencinsinresolver1">
    <w:name w:val="Mención sin resolver1"/>
    <w:basedOn w:val="Fuentedeprrafopredeter"/>
    <w:uiPriority w:val="99"/>
    <w:semiHidden/>
    <w:unhideWhenUsed/>
    <w:rsid w:val="00BD0A6A"/>
    <w:rPr>
      <w:color w:val="605E5C"/>
      <w:shd w:val="clear" w:color="auto" w:fill="E1DFDD"/>
    </w:rPr>
  </w:style>
  <w:style w:type="paragraph" w:customStyle="1" w:styleId="TAMainText">
    <w:name w:val="TA_Main_Text"/>
    <w:basedOn w:val="Normal"/>
    <w:autoRedefine/>
    <w:rsid w:val="000239C4"/>
    <w:pPr>
      <w:tabs>
        <w:tab w:val="clear" w:pos="7100"/>
      </w:tabs>
      <w:spacing w:after="60" w:line="240" w:lineRule="auto"/>
    </w:pPr>
    <w:rPr>
      <w:rFonts w:ascii="Arno Pro" w:hAnsi="Arno Pro"/>
      <w:kern w:val="21"/>
      <w:sz w:val="19"/>
      <w:szCs w:val="19"/>
      <w:lang w:val="en-US"/>
    </w:rPr>
  </w:style>
  <w:style w:type="paragraph" w:styleId="Prrafodelista">
    <w:name w:val="List Paragraph"/>
    <w:basedOn w:val="Normal"/>
    <w:uiPriority w:val="34"/>
    <w:qFormat/>
    <w:rsid w:val="004B6FC4"/>
    <w:pPr>
      <w:ind w:left="720"/>
      <w:contextualSpacing/>
    </w:pPr>
  </w:style>
  <w:style w:type="character" w:customStyle="1" w:styleId="TDAcknowledgmentsChar">
    <w:name w:val="TD_Acknowledgments Char"/>
    <w:link w:val="TDAcknowledgments"/>
    <w:locked/>
    <w:rsid w:val="00FB164F"/>
    <w:rPr>
      <w:rFonts w:ascii="Arno Pro" w:hAnsi="Arno Pro"/>
      <w:kern w:val="20"/>
      <w:sz w:val="18"/>
    </w:rPr>
  </w:style>
  <w:style w:type="paragraph" w:customStyle="1" w:styleId="TDAcknowledgments">
    <w:name w:val="TD_Acknowledgments"/>
    <w:basedOn w:val="Normal"/>
    <w:next w:val="Normal"/>
    <w:link w:val="TDAcknowledgmentsChar"/>
    <w:autoRedefine/>
    <w:rsid w:val="00FB164F"/>
    <w:pPr>
      <w:tabs>
        <w:tab w:val="clear" w:pos="7100"/>
      </w:tabs>
      <w:spacing w:line="240" w:lineRule="auto"/>
    </w:pPr>
    <w:rPr>
      <w:rFonts w:ascii="Arno Pro" w:eastAsiaTheme="minorHAnsi" w:hAnsi="Arno Pro" w:cstheme="minorBidi"/>
      <w:kern w:val="20"/>
      <w:szCs w:val="2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83035">
      <w:bodyDiv w:val="1"/>
      <w:marLeft w:val="0"/>
      <w:marRight w:val="0"/>
      <w:marTop w:val="0"/>
      <w:marBottom w:val="0"/>
      <w:divBdr>
        <w:top w:val="none" w:sz="0" w:space="0" w:color="auto"/>
        <w:left w:val="none" w:sz="0" w:space="0" w:color="auto"/>
        <w:bottom w:val="none" w:sz="0" w:space="0" w:color="auto"/>
        <w:right w:val="none" w:sz="0" w:space="0" w:color="auto"/>
      </w:divBdr>
    </w:div>
    <w:div w:id="679743501">
      <w:bodyDiv w:val="1"/>
      <w:marLeft w:val="0"/>
      <w:marRight w:val="0"/>
      <w:marTop w:val="0"/>
      <w:marBottom w:val="0"/>
      <w:divBdr>
        <w:top w:val="none" w:sz="0" w:space="0" w:color="auto"/>
        <w:left w:val="none" w:sz="0" w:space="0" w:color="auto"/>
        <w:bottom w:val="none" w:sz="0" w:space="0" w:color="auto"/>
        <w:right w:val="none" w:sz="0" w:space="0" w:color="auto"/>
      </w:divBdr>
    </w:div>
    <w:div w:id="703873015">
      <w:bodyDiv w:val="1"/>
      <w:marLeft w:val="0"/>
      <w:marRight w:val="0"/>
      <w:marTop w:val="0"/>
      <w:marBottom w:val="0"/>
      <w:divBdr>
        <w:top w:val="none" w:sz="0" w:space="0" w:color="auto"/>
        <w:left w:val="none" w:sz="0" w:space="0" w:color="auto"/>
        <w:bottom w:val="none" w:sz="0" w:space="0" w:color="auto"/>
        <w:right w:val="none" w:sz="0" w:space="0" w:color="auto"/>
      </w:divBdr>
    </w:div>
    <w:div w:id="752166362">
      <w:bodyDiv w:val="1"/>
      <w:marLeft w:val="0"/>
      <w:marRight w:val="0"/>
      <w:marTop w:val="0"/>
      <w:marBottom w:val="0"/>
      <w:divBdr>
        <w:top w:val="none" w:sz="0" w:space="0" w:color="auto"/>
        <w:left w:val="none" w:sz="0" w:space="0" w:color="auto"/>
        <w:bottom w:val="none" w:sz="0" w:space="0" w:color="auto"/>
        <w:right w:val="none" w:sz="0" w:space="0" w:color="auto"/>
      </w:divBdr>
    </w:div>
    <w:div w:id="757602471">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7144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946988">
      <w:bodyDiv w:val="1"/>
      <w:marLeft w:val="0"/>
      <w:marRight w:val="0"/>
      <w:marTop w:val="0"/>
      <w:marBottom w:val="0"/>
      <w:divBdr>
        <w:top w:val="none" w:sz="0" w:space="0" w:color="auto"/>
        <w:left w:val="none" w:sz="0" w:space="0" w:color="auto"/>
        <w:bottom w:val="none" w:sz="0" w:space="0" w:color="auto"/>
        <w:right w:val="none" w:sz="0" w:space="0" w:color="auto"/>
      </w:divBdr>
    </w:div>
    <w:div w:id="2115468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package" Target="embeddings/Dibujo_de_Microsoft_Visio.vsdx"/><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8ACB0-87B8-4E5C-B624-EC8141E92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7717</Words>
  <Characters>42445</Characters>
  <Application>Microsoft Office Word</Application>
  <DocSecurity>0</DocSecurity>
  <Lines>353</Lines>
  <Paragraphs>100</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50062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María C. Pájaro Morales</cp:lastModifiedBy>
  <cp:revision>2</cp:revision>
  <cp:lastPrinted>2015-05-12T18:31:00Z</cp:lastPrinted>
  <dcterms:created xsi:type="dcterms:W3CDTF">2022-03-23T18:46:00Z</dcterms:created>
  <dcterms:modified xsi:type="dcterms:W3CDTF">2022-03-23T18:46:00Z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7th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 6th edition</vt:lpwstr>
  </property>
  <property fmtid="{D5CDD505-2E9C-101B-9397-08002B2CF9AE}" pid="10" name="Mendeley Recent Style Id 3_1">
    <vt:lpwstr>http://www.zotero.org/styles/chemical-engineering-journal</vt:lpwstr>
  </property>
  <property fmtid="{D5CDD505-2E9C-101B-9397-08002B2CF9AE}" pid="11" name="Mendeley Recent Style Name 3_1">
    <vt:lpwstr>Chemical Engineering Journal</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8th edition</vt:lpwstr>
  </property>
  <property fmtid="{D5CDD505-2E9C-101B-9397-08002B2CF9AE}" pid="20" name="Mendeley Recent Style Id 8_1">
    <vt:lpwstr>http://www.zotero.org/styles/sustainable-materials-and-technologies</vt:lpwstr>
  </property>
  <property fmtid="{D5CDD505-2E9C-101B-9397-08002B2CF9AE}" pid="21" name="Mendeley Recent Style Name 8_1">
    <vt:lpwstr>Sustainable Materials and Technologies</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Citation Style_1">
    <vt:lpwstr>http://www.zotero.org/styles/apa</vt:lpwstr>
  </property>
  <property fmtid="{D5CDD505-2E9C-101B-9397-08002B2CF9AE}" pid="25" name="Mendeley Document_1">
    <vt:lpwstr>True</vt:lpwstr>
  </property>
  <property fmtid="{D5CDD505-2E9C-101B-9397-08002B2CF9AE}" pid="26" name="Mendeley Unique User Id_1">
    <vt:lpwstr>8d94d2c4-f802-381e-9479-9fe2e9aa64d3</vt:lpwstr>
  </property>
</Properties>
</file>